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2E4201" w:rsidRDefault="000A03B2" w:rsidP="00DE264A">
            <w:pPr>
              <w:tabs>
                <w:tab w:val="left" w:pos="-108"/>
              </w:tabs>
              <w:ind w:left="-108"/>
              <w:jc w:val="left"/>
              <w:rPr>
                <w:rFonts w:cs="Arial"/>
                <w:b/>
                <w:bCs/>
                <w:i/>
                <w:iCs/>
                <w:color w:val="000066"/>
                <w:sz w:val="12"/>
                <w:szCs w:val="12"/>
                <w:lang w:val="en-US" w:eastAsia="it-IT"/>
              </w:rPr>
            </w:pPr>
            <w:bookmarkStart w:id="0" w:name="_Hlk145068772"/>
            <w:r w:rsidRPr="00B57B36">
              <w:rPr>
                <w:rFonts w:ascii="AdvP6960" w:hAnsi="AdvP6960" w:cs="AdvP6960"/>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2E4201">
              <w:rPr>
                <w:rFonts w:ascii="AdvP6960" w:hAnsi="AdvP6960" w:cs="AdvP6960"/>
                <w:color w:val="241F20"/>
                <w:szCs w:val="18"/>
                <w:lang w:val="en-US" w:eastAsia="it-IT"/>
              </w:rPr>
              <w:t xml:space="preserve"> </w:t>
            </w:r>
            <w:r w:rsidRPr="002E4201">
              <w:rPr>
                <w:rFonts w:cs="Arial"/>
                <w:b/>
                <w:bCs/>
                <w:i/>
                <w:iCs/>
                <w:color w:val="000066"/>
                <w:sz w:val="24"/>
                <w:szCs w:val="24"/>
                <w:lang w:val="en-US" w:eastAsia="it-IT"/>
              </w:rPr>
              <w:t>CHEMICAL ENGINEERING</w:t>
            </w:r>
            <w:r w:rsidRPr="002E4201">
              <w:rPr>
                <w:rFonts w:cs="Arial"/>
                <w:b/>
                <w:bCs/>
                <w:i/>
                <w:iCs/>
                <w:color w:val="0033FF"/>
                <w:sz w:val="24"/>
                <w:szCs w:val="24"/>
                <w:lang w:val="en-US" w:eastAsia="it-IT"/>
              </w:rPr>
              <w:t xml:space="preserve"> </w:t>
            </w:r>
            <w:r w:rsidRPr="002E4201">
              <w:rPr>
                <w:rFonts w:cs="Arial"/>
                <w:b/>
                <w:bCs/>
                <w:i/>
                <w:iCs/>
                <w:color w:val="666666"/>
                <w:sz w:val="24"/>
                <w:szCs w:val="24"/>
                <w:lang w:val="en-US" w:eastAsia="it-IT"/>
              </w:rPr>
              <w:t>TRANSACTIONS</w:t>
            </w:r>
            <w:r w:rsidRPr="002E4201">
              <w:rPr>
                <w:color w:val="333333"/>
                <w:sz w:val="24"/>
                <w:szCs w:val="24"/>
                <w:lang w:val="en-US" w:eastAsia="it-IT"/>
              </w:rPr>
              <w:t xml:space="preserve"> </w:t>
            </w:r>
            <w:r w:rsidRPr="002E4201">
              <w:rPr>
                <w:rFonts w:cs="Arial"/>
                <w:b/>
                <w:bCs/>
                <w:i/>
                <w:iCs/>
                <w:color w:val="000066"/>
                <w:sz w:val="27"/>
                <w:szCs w:val="27"/>
                <w:lang w:val="en-US" w:eastAsia="it-IT"/>
              </w:rPr>
              <w:br/>
            </w:r>
          </w:p>
          <w:p w14:paraId="4B780582" w14:textId="753620B8" w:rsidR="000A03B2" w:rsidRPr="002E4201" w:rsidRDefault="00A76EFC" w:rsidP="001D21AF">
            <w:pPr>
              <w:tabs>
                <w:tab w:val="left" w:pos="-108"/>
              </w:tabs>
              <w:ind w:left="-108"/>
              <w:rPr>
                <w:rFonts w:cs="Arial"/>
                <w:b/>
                <w:bCs/>
                <w:i/>
                <w:iCs/>
                <w:color w:val="000066"/>
                <w:sz w:val="22"/>
                <w:szCs w:val="22"/>
                <w:lang w:val="en-US" w:eastAsia="it-IT"/>
              </w:rPr>
            </w:pPr>
            <w:r w:rsidRPr="002E4201">
              <w:rPr>
                <w:rFonts w:cs="Arial"/>
                <w:b/>
                <w:bCs/>
                <w:i/>
                <w:iCs/>
                <w:color w:val="000066"/>
                <w:sz w:val="22"/>
                <w:szCs w:val="22"/>
                <w:lang w:val="en-US" w:eastAsia="it-IT"/>
              </w:rPr>
              <w:t>VOL.</w:t>
            </w:r>
            <w:r w:rsidR="00785BF9" w:rsidRPr="002E4201">
              <w:rPr>
                <w:rFonts w:cs="Arial"/>
                <w:b/>
                <w:bCs/>
                <w:i/>
                <w:iCs/>
                <w:color w:val="000066"/>
                <w:sz w:val="22"/>
                <w:szCs w:val="22"/>
                <w:lang w:val="en-US" w:eastAsia="it-IT"/>
              </w:rPr>
              <w:t xml:space="preserve"> </w:t>
            </w:r>
            <w:r w:rsidR="00AD0278" w:rsidRPr="002E4201">
              <w:rPr>
                <w:rFonts w:cs="Arial"/>
                <w:b/>
                <w:bCs/>
                <w:i/>
                <w:iCs/>
                <w:color w:val="000066"/>
                <w:sz w:val="22"/>
                <w:szCs w:val="22"/>
                <w:lang w:val="en-US" w:eastAsia="it-IT"/>
              </w:rPr>
              <w:t>xxx</w:t>
            </w:r>
            <w:r w:rsidR="007B48F9" w:rsidRPr="002E4201">
              <w:rPr>
                <w:rFonts w:cs="Arial"/>
                <w:b/>
                <w:bCs/>
                <w:i/>
                <w:iCs/>
                <w:color w:val="000066"/>
                <w:sz w:val="22"/>
                <w:szCs w:val="22"/>
                <w:lang w:val="en-US" w:eastAsia="it-IT"/>
              </w:rPr>
              <w:t>,</w:t>
            </w:r>
            <w:r w:rsidR="00FA5F5F" w:rsidRPr="002E4201">
              <w:rPr>
                <w:rFonts w:cs="Arial"/>
                <w:b/>
                <w:bCs/>
                <w:i/>
                <w:iCs/>
                <w:color w:val="000066"/>
                <w:sz w:val="22"/>
                <w:szCs w:val="22"/>
                <w:lang w:val="en-US" w:eastAsia="it-IT"/>
              </w:rPr>
              <w:t xml:space="preserve"> </w:t>
            </w:r>
            <w:r w:rsidR="0030152C" w:rsidRPr="002E4201">
              <w:rPr>
                <w:rFonts w:cs="Arial"/>
                <w:b/>
                <w:bCs/>
                <w:i/>
                <w:iCs/>
                <w:color w:val="000066"/>
                <w:sz w:val="22"/>
                <w:szCs w:val="22"/>
                <w:lang w:val="en-US" w:eastAsia="it-IT"/>
              </w:rPr>
              <w:t>202</w:t>
            </w:r>
            <w:r w:rsidR="00AD0278" w:rsidRPr="002E4201">
              <w:rPr>
                <w:rFonts w:cs="Arial"/>
                <w:b/>
                <w:bCs/>
                <w:i/>
                <w:iCs/>
                <w:color w:val="000066"/>
                <w:sz w:val="22"/>
                <w:szCs w:val="22"/>
                <w:lang w:val="en-US"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736528"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2E4201" w:rsidRDefault="000A03B2" w:rsidP="00CD5FE2">
            <w:pPr>
              <w:spacing w:line="140" w:lineRule="atLeast"/>
              <w:jc w:val="right"/>
              <w:rPr>
                <w:rFonts w:cs="Arial"/>
                <w:sz w:val="14"/>
                <w:szCs w:val="14"/>
                <w:lang w:val="en-US"/>
              </w:rPr>
            </w:pPr>
            <w:r w:rsidRPr="002E4201">
              <w:rPr>
                <w:rFonts w:cs="Arial"/>
                <w:sz w:val="14"/>
                <w:szCs w:val="14"/>
                <w:lang w:val="en-US"/>
              </w:rPr>
              <w:t>The Italian Association</w:t>
            </w:r>
          </w:p>
          <w:p w14:paraId="7522B1D2" w14:textId="77777777" w:rsidR="000A03B2" w:rsidRPr="002E4201" w:rsidRDefault="000A03B2" w:rsidP="00CD5FE2">
            <w:pPr>
              <w:spacing w:line="140" w:lineRule="atLeast"/>
              <w:jc w:val="right"/>
              <w:rPr>
                <w:rFonts w:cs="Arial"/>
                <w:sz w:val="14"/>
                <w:szCs w:val="14"/>
                <w:lang w:val="en-US"/>
              </w:rPr>
            </w:pPr>
            <w:r w:rsidRPr="002E4201">
              <w:rPr>
                <w:rFonts w:cs="Arial"/>
                <w:sz w:val="14"/>
                <w:szCs w:val="14"/>
                <w:lang w:val="en-US"/>
              </w:rPr>
              <w:t>of Chemical Engineering</w:t>
            </w:r>
          </w:p>
          <w:p w14:paraId="4F0CC5DE" w14:textId="47FDB2FC" w:rsidR="000A03B2" w:rsidRPr="002E4201" w:rsidRDefault="000D0268" w:rsidP="00CD5FE2">
            <w:pPr>
              <w:spacing w:line="140" w:lineRule="atLeast"/>
              <w:jc w:val="right"/>
              <w:rPr>
                <w:rFonts w:cs="Arial"/>
                <w:sz w:val="13"/>
                <w:szCs w:val="13"/>
                <w:lang w:val="en-US"/>
              </w:rPr>
            </w:pPr>
            <w:r w:rsidRPr="002E4201">
              <w:rPr>
                <w:rFonts w:cs="Arial"/>
                <w:sz w:val="13"/>
                <w:szCs w:val="13"/>
                <w:lang w:val="en-US"/>
              </w:rPr>
              <w:t>Online at www.cetjournal.it</w:t>
            </w:r>
          </w:p>
        </w:tc>
      </w:tr>
      <w:tr w:rsidR="000A03B2" w:rsidRPr="00736528" w14:paraId="2D1B7169" w14:textId="77777777" w:rsidTr="00DE264A">
        <w:trPr>
          <w:trHeight w:val="68"/>
          <w:jc w:val="center"/>
        </w:trPr>
        <w:tc>
          <w:tcPr>
            <w:tcW w:w="8789" w:type="dxa"/>
            <w:gridSpan w:val="2"/>
          </w:tcPr>
          <w:p w14:paraId="1D8DD3C9" w14:textId="61229B97" w:rsidR="00AA7D26" w:rsidRPr="00EA3EF9" w:rsidRDefault="004A5E57" w:rsidP="004A5E57">
            <w:pPr>
              <w:ind w:left="-107"/>
              <w:outlineLvl w:val="2"/>
              <w:rPr>
                <w:rFonts w:ascii="Tahoma" w:hAnsi="Tahoma" w:cs="Tahoma"/>
                <w:bCs/>
                <w:color w:val="000000"/>
                <w:sz w:val="14"/>
                <w:szCs w:val="14"/>
                <w:lang w:val="it-IT" w:eastAsia="it-IT"/>
              </w:rPr>
            </w:pPr>
            <w:r w:rsidRPr="00EA3EF9">
              <w:rPr>
                <w:rFonts w:ascii="Tahoma" w:hAnsi="Tahoma" w:cs="Tahoma"/>
                <w:iCs/>
                <w:color w:val="333333"/>
                <w:sz w:val="14"/>
                <w:szCs w:val="14"/>
                <w:lang w:val="it-IT" w:eastAsia="it-IT"/>
              </w:rPr>
              <w:t>Guest Editors:</w:t>
            </w:r>
            <w:r w:rsidRPr="00EA3EF9">
              <w:rPr>
                <w:rFonts w:ascii="Tahoma" w:hAnsi="Tahoma" w:cs="Tahoma"/>
                <w:color w:val="000000"/>
                <w:sz w:val="14"/>
                <w:szCs w:val="14"/>
                <w:shd w:val="clear" w:color="auto" w:fill="FFFFFF"/>
                <w:lang w:val="it-IT"/>
              </w:rPr>
              <w:t xml:space="preserve"> </w:t>
            </w:r>
            <w:r w:rsidR="00EA3EF9" w:rsidRPr="00EA3EF9">
              <w:rPr>
                <w:rFonts w:ascii="Tahoma" w:hAnsi="Tahoma" w:cs="Tahoma"/>
                <w:color w:val="000000"/>
                <w:sz w:val="14"/>
                <w:szCs w:val="14"/>
                <w:shd w:val="clear" w:color="auto" w:fill="FFFFFF"/>
                <w:lang w:val="it-IT"/>
              </w:rPr>
              <w:t xml:space="preserve">Leonardo Tognotti, </w:t>
            </w:r>
            <w:r w:rsidR="00EA3EF9" w:rsidRPr="00EA3EF9">
              <w:rPr>
                <w:rFonts w:ascii="Tahoma" w:hAnsi="Tahoma" w:cs="Tahoma"/>
                <w:color w:val="000000"/>
                <w:sz w:val="14"/>
                <w:szCs w:val="14"/>
                <w:lang w:val="it-IT"/>
              </w:rPr>
              <w:t>Rubens Maciel Filho</w:t>
            </w:r>
            <w:r w:rsidR="00EA3EF9" w:rsidRPr="00EA3EF9">
              <w:rPr>
                <w:rFonts w:ascii="Tahoma" w:hAnsi="Tahoma" w:cs="Tahoma"/>
                <w:color w:val="000000"/>
                <w:sz w:val="14"/>
                <w:szCs w:val="14"/>
                <w:shd w:val="clear" w:color="auto" w:fill="FFFFFF"/>
                <w:lang w:val="it-IT"/>
              </w:rPr>
              <w:t xml:space="preserve">, </w:t>
            </w:r>
            <w:r w:rsidR="00EA3EF9" w:rsidRPr="00EA3EF9">
              <w:rPr>
                <w:rFonts w:ascii="Tahoma" w:hAnsi="Tahoma" w:cs="Tahoma"/>
                <w:color w:val="000000"/>
                <w:sz w:val="14"/>
                <w:szCs w:val="14"/>
                <w:lang w:val="it-IT"/>
              </w:rPr>
              <w:t>Viatcheslav Kafarov</w:t>
            </w:r>
          </w:p>
          <w:p w14:paraId="1B0F1814" w14:textId="710B7B96" w:rsidR="000A03B2" w:rsidRPr="002E4201" w:rsidRDefault="00AA7D26" w:rsidP="00AA7D26">
            <w:pPr>
              <w:tabs>
                <w:tab w:val="left" w:pos="-108"/>
              </w:tabs>
              <w:spacing w:line="140" w:lineRule="atLeast"/>
              <w:ind w:left="-107"/>
              <w:jc w:val="left"/>
              <w:rPr>
                <w:lang w:val="en-US"/>
              </w:rPr>
            </w:pPr>
            <w:r w:rsidRPr="002E4201">
              <w:rPr>
                <w:rFonts w:ascii="Tahoma" w:hAnsi="Tahoma" w:cs="Tahoma"/>
                <w:iCs/>
                <w:color w:val="333333"/>
                <w:sz w:val="14"/>
                <w:szCs w:val="14"/>
                <w:lang w:val="en-US" w:eastAsia="it-IT"/>
              </w:rPr>
              <w:t>Copyright © 202</w:t>
            </w:r>
            <w:r w:rsidR="00005884" w:rsidRPr="002E4201">
              <w:rPr>
                <w:rFonts w:ascii="Tahoma" w:hAnsi="Tahoma" w:cs="Tahoma"/>
                <w:iCs/>
                <w:color w:val="333333"/>
                <w:sz w:val="14"/>
                <w:szCs w:val="14"/>
                <w:lang w:val="en-US" w:eastAsia="it-IT"/>
              </w:rPr>
              <w:t>6</w:t>
            </w:r>
            <w:r w:rsidRPr="002E4201">
              <w:rPr>
                <w:rFonts w:ascii="Tahoma" w:hAnsi="Tahoma" w:cs="Tahoma"/>
                <w:iCs/>
                <w:color w:val="333333"/>
                <w:sz w:val="14"/>
                <w:szCs w:val="14"/>
                <w:lang w:val="en-US" w:eastAsia="it-IT"/>
              </w:rPr>
              <w:t>, AIDIC Servizi S.r.l.</w:t>
            </w:r>
            <w:r w:rsidRPr="002E4201">
              <w:rPr>
                <w:rFonts w:ascii="Tahoma" w:hAnsi="Tahoma" w:cs="Tahoma"/>
                <w:iCs/>
                <w:color w:val="333333"/>
                <w:sz w:val="14"/>
                <w:szCs w:val="14"/>
                <w:lang w:val="en-US" w:eastAsia="it-IT"/>
              </w:rPr>
              <w:br/>
            </w:r>
            <w:r w:rsidRPr="002E4201">
              <w:rPr>
                <w:rFonts w:ascii="Tahoma" w:hAnsi="Tahoma" w:cs="Tahoma"/>
                <w:b/>
                <w:iCs/>
                <w:color w:val="000000"/>
                <w:sz w:val="14"/>
                <w:szCs w:val="14"/>
                <w:lang w:val="en-US" w:eastAsia="it-IT"/>
              </w:rPr>
              <w:t>ISBN</w:t>
            </w:r>
            <w:r w:rsidRPr="002E4201">
              <w:rPr>
                <w:rFonts w:ascii="Tahoma" w:hAnsi="Tahoma" w:cs="Tahoma"/>
                <w:iCs/>
                <w:color w:val="000000"/>
                <w:sz w:val="14"/>
                <w:szCs w:val="14"/>
                <w:lang w:val="en-US" w:eastAsia="it-IT"/>
              </w:rPr>
              <w:t xml:space="preserve"> </w:t>
            </w:r>
            <w:r w:rsidR="00D2582C" w:rsidRPr="002E4201">
              <w:rPr>
                <w:rFonts w:ascii="Tahoma" w:hAnsi="Tahoma" w:cs="Tahoma"/>
                <w:sz w:val="14"/>
                <w:szCs w:val="14"/>
                <w:lang w:val="en-US"/>
              </w:rPr>
              <w:t>979-12-81206-</w:t>
            </w:r>
            <w:r w:rsidR="00005884" w:rsidRPr="002E4201">
              <w:rPr>
                <w:rFonts w:ascii="Tahoma" w:hAnsi="Tahoma" w:cs="Tahoma"/>
                <w:sz w:val="14"/>
                <w:szCs w:val="14"/>
                <w:lang w:val="en-US"/>
              </w:rPr>
              <w:t>xx</w:t>
            </w:r>
            <w:r w:rsidR="009041F8" w:rsidRPr="002E4201">
              <w:rPr>
                <w:rFonts w:ascii="Tahoma" w:hAnsi="Tahoma" w:cs="Tahoma"/>
                <w:sz w:val="14"/>
                <w:szCs w:val="14"/>
                <w:lang w:val="en-US"/>
              </w:rPr>
              <w:t>-</w:t>
            </w:r>
            <w:r w:rsidR="00005884" w:rsidRPr="002E4201">
              <w:rPr>
                <w:rFonts w:ascii="Tahoma" w:hAnsi="Tahoma" w:cs="Tahoma"/>
                <w:sz w:val="14"/>
                <w:szCs w:val="14"/>
                <w:lang w:val="en-US"/>
              </w:rPr>
              <w:t>x</w:t>
            </w:r>
            <w:r w:rsidRPr="002E4201">
              <w:rPr>
                <w:rFonts w:ascii="Tahoma" w:hAnsi="Tahoma" w:cs="Tahoma"/>
                <w:iCs/>
                <w:color w:val="333333"/>
                <w:sz w:val="14"/>
                <w:szCs w:val="14"/>
                <w:lang w:val="en-US" w:eastAsia="it-IT"/>
              </w:rPr>
              <w:t xml:space="preserve">; </w:t>
            </w:r>
            <w:r w:rsidRPr="002E4201">
              <w:rPr>
                <w:rFonts w:ascii="Tahoma" w:hAnsi="Tahoma" w:cs="Tahoma"/>
                <w:b/>
                <w:iCs/>
                <w:color w:val="333333"/>
                <w:sz w:val="14"/>
                <w:szCs w:val="14"/>
                <w:lang w:val="en-US" w:eastAsia="it-IT"/>
              </w:rPr>
              <w:t>ISSN</w:t>
            </w:r>
            <w:r w:rsidRPr="002E4201">
              <w:rPr>
                <w:rFonts w:ascii="Tahoma" w:hAnsi="Tahoma" w:cs="Tahoma"/>
                <w:iCs/>
                <w:color w:val="333333"/>
                <w:sz w:val="14"/>
                <w:szCs w:val="14"/>
                <w:lang w:val="en-US" w:eastAsia="it-IT"/>
              </w:rPr>
              <w:t xml:space="preserve"> 2283-9216</w:t>
            </w:r>
          </w:p>
        </w:tc>
      </w:tr>
      <w:bookmarkEnd w:id="0"/>
    </w:tbl>
    <w:p w14:paraId="2D38073B" w14:textId="77777777" w:rsidR="00CD0E94" w:rsidRDefault="00CD0E94" w:rsidP="00CD0E94">
      <w:pPr>
        <w:pStyle w:val="CETAuthors"/>
      </w:pPr>
    </w:p>
    <w:p w14:paraId="4110DEFB" w14:textId="33358670" w:rsidR="00CD0E94" w:rsidRPr="00DB6F17" w:rsidRDefault="00E8307E" w:rsidP="00CD0E94">
      <w:pPr>
        <w:pStyle w:val="CETAuthors"/>
        <w:rPr>
          <w:noProof w:val="0"/>
          <w:sz w:val="32"/>
        </w:rPr>
      </w:pPr>
      <w:r w:rsidRPr="00DB6F17">
        <w:rPr>
          <w:noProof w:val="0"/>
          <w:sz w:val="32"/>
        </w:rPr>
        <w:t>Coffee Agroforestry</w:t>
      </w:r>
      <w:r w:rsidR="00BB1D1C">
        <w:rPr>
          <w:noProof w:val="0"/>
          <w:sz w:val="32"/>
        </w:rPr>
        <w:t xml:space="preserve"> Systems</w:t>
      </w:r>
      <w:r w:rsidRPr="00DB6F17">
        <w:rPr>
          <w:noProof w:val="0"/>
          <w:sz w:val="32"/>
        </w:rPr>
        <w:t xml:space="preserve"> as an Environmental Service for Carbon Sequestration</w:t>
      </w:r>
    </w:p>
    <w:p w14:paraId="2510C80F" w14:textId="6CF9CF37" w:rsidR="001B2D76" w:rsidRDefault="000D3913" w:rsidP="00736528">
      <w:pPr>
        <w:spacing w:before="104"/>
        <w:ind w:left="102"/>
        <w:rPr>
          <w:sz w:val="24"/>
          <w:vertAlign w:val="superscript"/>
        </w:rPr>
      </w:pPr>
      <w:r>
        <w:rPr>
          <w:spacing w:val="1"/>
          <w:sz w:val="24"/>
        </w:rPr>
        <w:t>Vanessa J</w:t>
      </w:r>
      <w:r w:rsidR="00DB6F17">
        <w:rPr>
          <w:spacing w:val="1"/>
          <w:sz w:val="24"/>
        </w:rPr>
        <w:t>.</w:t>
      </w:r>
      <w:r>
        <w:rPr>
          <w:spacing w:val="1"/>
          <w:sz w:val="24"/>
        </w:rPr>
        <w:t xml:space="preserve"> Caldas Garnique</w:t>
      </w:r>
      <w:r>
        <w:rPr>
          <w:sz w:val="24"/>
          <w:vertAlign w:val="superscript"/>
        </w:rPr>
        <w:t>a</w:t>
      </w:r>
      <w:r w:rsidRPr="00DF0282">
        <w:rPr>
          <w:sz w:val="24"/>
        </w:rPr>
        <w:t xml:space="preserve">  Fiorella V. Güere Salazar</w:t>
      </w:r>
      <w:r w:rsidRPr="00DF0282">
        <w:rPr>
          <w:sz w:val="24"/>
          <w:vertAlign w:val="superscript"/>
        </w:rPr>
        <w:t>b</w:t>
      </w:r>
      <w:r w:rsidRPr="00DF0282">
        <w:rPr>
          <w:sz w:val="24"/>
        </w:rPr>
        <w:t xml:space="preserve">, </w:t>
      </w:r>
      <w:r>
        <w:rPr>
          <w:sz w:val="24"/>
        </w:rPr>
        <w:t>Zanhy L</w:t>
      </w:r>
      <w:r w:rsidR="00DB6F17">
        <w:rPr>
          <w:sz w:val="24"/>
        </w:rPr>
        <w:t>.</w:t>
      </w:r>
      <w:r>
        <w:rPr>
          <w:sz w:val="24"/>
        </w:rPr>
        <w:t xml:space="preserve"> Valencia Reyes</w:t>
      </w:r>
      <w:r w:rsidRPr="000631FC">
        <w:rPr>
          <w:sz w:val="24"/>
          <w:vertAlign w:val="superscript"/>
        </w:rPr>
        <w:t xml:space="preserve"> </w:t>
      </w:r>
      <w:r w:rsidRPr="00DF0282">
        <w:rPr>
          <w:sz w:val="24"/>
          <w:vertAlign w:val="superscript"/>
        </w:rPr>
        <w:t>b</w:t>
      </w:r>
      <w:r w:rsidRPr="00DF0282">
        <w:rPr>
          <w:sz w:val="24"/>
        </w:rPr>
        <w:t>,</w:t>
      </w:r>
      <w:r w:rsidRPr="00F7290A">
        <w:rPr>
          <w:sz w:val="24"/>
        </w:rPr>
        <w:t xml:space="preserve"> </w:t>
      </w:r>
      <w:r w:rsidRPr="00DF0282">
        <w:rPr>
          <w:sz w:val="24"/>
        </w:rPr>
        <w:t>William</w:t>
      </w:r>
      <w:r w:rsidRPr="00DF0282">
        <w:rPr>
          <w:spacing w:val="7"/>
          <w:sz w:val="24"/>
        </w:rPr>
        <w:t xml:space="preserve"> </w:t>
      </w:r>
      <w:r w:rsidRPr="00DF0282">
        <w:rPr>
          <w:sz w:val="24"/>
        </w:rPr>
        <w:t>C.</w:t>
      </w:r>
      <w:r w:rsidRPr="00DF0282">
        <w:rPr>
          <w:spacing w:val="5"/>
          <w:sz w:val="24"/>
        </w:rPr>
        <w:t xml:space="preserve"> </w:t>
      </w:r>
      <w:r w:rsidRPr="00DF0282">
        <w:rPr>
          <w:sz w:val="24"/>
        </w:rPr>
        <w:t>Santos Tello</w:t>
      </w:r>
      <w:r w:rsidRPr="00F7290A">
        <w:rPr>
          <w:sz w:val="24"/>
          <w:vertAlign w:val="superscript"/>
        </w:rPr>
        <w:t xml:space="preserve"> </w:t>
      </w:r>
      <w:r>
        <w:rPr>
          <w:sz w:val="24"/>
          <w:vertAlign w:val="superscript"/>
        </w:rPr>
        <w:t>c</w:t>
      </w:r>
      <w:r w:rsidR="00736528" w:rsidRPr="00DF0282">
        <w:rPr>
          <w:sz w:val="24"/>
        </w:rPr>
        <w:t>*</w:t>
      </w:r>
      <w:r>
        <w:rPr>
          <w:sz w:val="24"/>
        </w:rPr>
        <w:t>,Máximo Cisneros Tejeira</w:t>
      </w:r>
      <w:r w:rsidRPr="000631FC">
        <w:rPr>
          <w:sz w:val="24"/>
          <w:vertAlign w:val="superscript"/>
        </w:rPr>
        <w:t xml:space="preserve"> </w:t>
      </w:r>
      <w:r>
        <w:rPr>
          <w:sz w:val="24"/>
          <w:vertAlign w:val="superscript"/>
        </w:rPr>
        <w:t>d</w:t>
      </w:r>
      <w:r>
        <w:rPr>
          <w:sz w:val="24"/>
        </w:rPr>
        <w:t xml:space="preserve"> ,</w:t>
      </w:r>
      <w:r w:rsidRPr="00DF0282">
        <w:rPr>
          <w:sz w:val="24"/>
        </w:rPr>
        <w:t>Berita Dávila Ruiz</w:t>
      </w:r>
      <w:r w:rsidRPr="000631FC">
        <w:rPr>
          <w:sz w:val="24"/>
          <w:vertAlign w:val="superscript"/>
        </w:rPr>
        <w:t xml:space="preserve"> </w:t>
      </w:r>
      <w:r>
        <w:rPr>
          <w:sz w:val="24"/>
          <w:vertAlign w:val="superscript"/>
        </w:rPr>
        <w:t>e</w:t>
      </w:r>
      <w:r w:rsidRPr="00DF0282">
        <w:rPr>
          <w:sz w:val="24"/>
        </w:rPr>
        <w:t>, Christiaan E. Moreno</w:t>
      </w:r>
      <w:r>
        <w:rPr>
          <w:sz w:val="24"/>
        </w:rPr>
        <w:t xml:space="preserve"> </w:t>
      </w:r>
      <w:r>
        <w:rPr>
          <w:sz w:val="24"/>
          <w:vertAlign w:val="superscript"/>
        </w:rPr>
        <w:t>f</w:t>
      </w:r>
      <w:r>
        <w:rPr>
          <w:spacing w:val="1"/>
          <w:sz w:val="24"/>
        </w:rPr>
        <w:t>, Jhonn R</w:t>
      </w:r>
      <w:r w:rsidR="00DB6F17">
        <w:rPr>
          <w:spacing w:val="1"/>
          <w:sz w:val="24"/>
        </w:rPr>
        <w:t>.</w:t>
      </w:r>
      <w:r>
        <w:rPr>
          <w:spacing w:val="1"/>
          <w:sz w:val="24"/>
        </w:rPr>
        <w:t xml:space="preserve"> Ruiz De la Cruz</w:t>
      </w:r>
      <w:r w:rsidRPr="000631FC">
        <w:rPr>
          <w:sz w:val="24"/>
          <w:vertAlign w:val="superscript"/>
        </w:rPr>
        <w:t xml:space="preserve"> </w:t>
      </w:r>
      <w:r>
        <w:rPr>
          <w:sz w:val="24"/>
          <w:vertAlign w:val="superscript"/>
        </w:rPr>
        <w:t>e</w:t>
      </w:r>
      <w:r>
        <w:rPr>
          <w:spacing w:val="1"/>
          <w:sz w:val="24"/>
        </w:rPr>
        <w:t>, Kathy Flores Cabrera De Ruiz</w:t>
      </w:r>
      <w:r w:rsidRPr="000631FC">
        <w:rPr>
          <w:sz w:val="24"/>
          <w:vertAlign w:val="superscript"/>
        </w:rPr>
        <w:t xml:space="preserve"> </w:t>
      </w:r>
      <w:r>
        <w:rPr>
          <w:sz w:val="24"/>
          <w:vertAlign w:val="superscript"/>
        </w:rPr>
        <w:t>e</w:t>
      </w:r>
      <w:r>
        <w:rPr>
          <w:spacing w:val="1"/>
          <w:sz w:val="24"/>
        </w:rPr>
        <w:t>, Florentino Sánchez Aguilar</w:t>
      </w:r>
      <w:r w:rsidRPr="000631FC">
        <w:rPr>
          <w:sz w:val="24"/>
          <w:vertAlign w:val="superscript"/>
        </w:rPr>
        <w:t xml:space="preserve"> </w:t>
      </w:r>
      <w:r>
        <w:rPr>
          <w:sz w:val="24"/>
          <w:vertAlign w:val="superscript"/>
        </w:rPr>
        <w:t>d</w:t>
      </w:r>
    </w:p>
    <w:p w14:paraId="0B0F82DB" w14:textId="736AA638" w:rsidR="000D3913" w:rsidRDefault="000D3913" w:rsidP="000D3913">
      <w:pPr>
        <w:ind w:left="145"/>
        <w:rPr>
          <w:sz w:val="16"/>
        </w:rPr>
      </w:pPr>
      <w:r>
        <w:rPr>
          <w:sz w:val="16"/>
          <w:vertAlign w:val="superscript"/>
        </w:rPr>
        <w:t xml:space="preserve">a </w:t>
      </w:r>
      <w:r w:rsidR="00B164D2">
        <w:rPr>
          <w:sz w:val="16"/>
        </w:rPr>
        <w:t>Asesoria y Consultoria de Proyectos Ambientales S.A.C</w:t>
      </w:r>
      <w:r>
        <w:rPr>
          <w:sz w:val="16"/>
        </w:rPr>
        <w:t xml:space="preserve"> , </w:t>
      </w:r>
      <w:r w:rsidR="00B164D2">
        <w:rPr>
          <w:sz w:val="16"/>
        </w:rPr>
        <w:t>Martinete Mz K Lote 8. Lima,</w:t>
      </w:r>
      <w:r w:rsidRPr="000631FC">
        <w:rPr>
          <w:sz w:val="16"/>
        </w:rPr>
        <w:t>Perú</w:t>
      </w:r>
    </w:p>
    <w:p w14:paraId="6D1BC03B" w14:textId="77777777" w:rsidR="000D3913" w:rsidRDefault="000D3913" w:rsidP="000D3913">
      <w:pPr>
        <w:ind w:left="145"/>
        <w:rPr>
          <w:spacing w:val="-4"/>
          <w:sz w:val="16"/>
        </w:rPr>
      </w:pPr>
      <w:r w:rsidRPr="00DF0282">
        <w:rPr>
          <w:sz w:val="16"/>
          <w:vertAlign w:val="superscript"/>
        </w:rPr>
        <w:t>b</w:t>
      </w:r>
      <w:r w:rsidRPr="00DF0282">
        <w:rPr>
          <w:spacing w:val="-10"/>
          <w:sz w:val="16"/>
        </w:rPr>
        <w:t xml:space="preserve"> </w:t>
      </w:r>
      <w:r w:rsidRPr="00DF0282">
        <w:rPr>
          <w:sz w:val="16"/>
        </w:rPr>
        <w:t>Universidad</w:t>
      </w:r>
      <w:r w:rsidRPr="00DF0282">
        <w:rPr>
          <w:spacing w:val="-8"/>
          <w:sz w:val="16"/>
        </w:rPr>
        <w:t xml:space="preserve"> </w:t>
      </w:r>
      <w:r w:rsidRPr="00DF0282">
        <w:rPr>
          <w:sz w:val="16"/>
        </w:rPr>
        <w:t>Nacional</w:t>
      </w:r>
      <w:r w:rsidRPr="00DF0282">
        <w:rPr>
          <w:spacing w:val="-4"/>
          <w:sz w:val="16"/>
        </w:rPr>
        <w:t xml:space="preserve"> </w:t>
      </w:r>
      <w:r w:rsidRPr="00DF0282">
        <w:rPr>
          <w:sz w:val="16"/>
        </w:rPr>
        <w:t>Mayor</w:t>
      </w:r>
      <w:r w:rsidRPr="00DF0282">
        <w:rPr>
          <w:spacing w:val="-3"/>
          <w:sz w:val="16"/>
        </w:rPr>
        <w:t xml:space="preserve"> </w:t>
      </w:r>
      <w:r w:rsidRPr="00DF0282">
        <w:rPr>
          <w:sz w:val="16"/>
        </w:rPr>
        <w:t>de</w:t>
      </w:r>
      <w:r w:rsidRPr="00DF0282">
        <w:rPr>
          <w:spacing w:val="-4"/>
          <w:sz w:val="16"/>
        </w:rPr>
        <w:t xml:space="preserve"> </w:t>
      </w:r>
      <w:r w:rsidRPr="00DF0282">
        <w:rPr>
          <w:sz w:val="16"/>
        </w:rPr>
        <w:t>San</w:t>
      </w:r>
      <w:r w:rsidRPr="00DF0282">
        <w:rPr>
          <w:spacing w:val="-7"/>
          <w:sz w:val="16"/>
        </w:rPr>
        <w:t xml:space="preserve"> </w:t>
      </w:r>
      <w:r w:rsidRPr="00DF0282">
        <w:rPr>
          <w:sz w:val="16"/>
        </w:rPr>
        <w:t>Marcos,</w:t>
      </w:r>
      <w:r w:rsidRPr="00DF0282">
        <w:rPr>
          <w:spacing w:val="-7"/>
          <w:sz w:val="16"/>
        </w:rPr>
        <w:t xml:space="preserve"> </w:t>
      </w:r>
      <w:r w:rsidRPr="00DF0282">
        <w:rPr>
          <w:sz w:val="16"/>
        </w:rPr>
        <w:t>Ciudad</w:t>
      </w:r>
      <w:r w:rsidRPr="00DF0282">
        <w:rPr>
          <w:spacing w:val="-8"/>
          <w:sz w:val="16"/>
        </w:rPr>
        <w:t xml:space="preserve"> </w:t>
      </w:r>
      <w:r w:rsidRPr="00DF0282">
        <w:rPr>
          <w:sz w:val="16"/>
        </w:rPr>
        <w:t>Universitaria,</w:t>
      </w:r>
      <w:r w:rsidRPr="00DF0282">
        <w:rPr>
          <w:spacing w:val="-3"/>
          <w:sz w:val="16"/>
        </w:rPr>
        <w:t xml:space="preserve"> </w:t>
      </w:r>
      <w:r w:rsidRPr="00DF0282">
        <w:rPr>
          <w:sz w:val="16"/>
        </w:rPr>
        <w:t>Lima</w:t>
      </w:r>
      <w:r w:rsidRPr="00DF0282">
        <w:rPr>
          <w:spacing w:val="-8"/>
          <w:sz w:val="16"/>
        </w:rPr>
        <w:t xml:space="preserve"> </w:t>
      </w:r>
      <w:r w:rsidRPr="00DF0282">
        <w:rPr>
          <w:sz w:val="16"/>
        </w:rPr>
        <w:t>15081,</w:t>
      </w:r>
      <w:r w:rsidRPr="00DF0282">
        <w:rPr>
          <w:spacing w:val="-7"/>
          <w:sz w:val="16"/>
        </w:rPr>
        <w:t xml:space="preserve"> </w:t>
      </w:r>
      <w:r w:rsidRPr="00DF0282">
        <w:rPr>
          <w:spacing w:val="-4"/>
          <w:sz w:val="16"/>
        </w:rPr>
        <w:t>Perú</w:t>
      </w:r>
    </w:p>
    <w:p w14:paraId="5CAA8BDF" w14:textId="77777777" w:rsidR="000D3913" w:rsidRDefault="000D3913" w:rsidP="000D3913">
      <w:pPr>
        <w:spacing w:before="17"/>
        <w:ind w:left="145" w:right="1835"/>
        <w:rPr>
          <w:sz w:val="16"/>
        </w:rPr>
      </w:pPr>
      <w:r>
        <w:rPr>
          <w:sz w:val="16"/>
          <w:vertAlign w:val="superscript"/>
        </w:rPr>
        <w:t xml:space="preserve">c </w:t>
      </w:r>
      <w:r w:rsidRPr="00DF0282">
        <w:rPr>
          <w:sz w:val="16"/>
        </w:rPr>
        <w:t xml:space="preserve">Universidad Continental, Av. </w:t>
      </w:r>
      <w:r w:rsidRPr="000631FC">
        <w:rPr>
          <w:sz w:val="16"/>
        </w:rPr>
        <w:t>Alfredo Mendiola 5210, Los Olivos 15306, Perú</w:t>
      </w:r>
    </w:p>
    <w:p w14:paraId="15C4CE58" w14:textId="7D05BE9E" w:rsidR="000D3913" w:rsidRDefault="000D3913" w:rsidP="000D3913">
      <w:pPr>
        <w:spacing w:before="17"/>
        <w:ind w:right="849"/>
        <w:rPr>
          <w:spacing w:val="-4"/>
          <w:sz w:val="16"/>
        </w:rPr>
      </w:pPr>
      <w:r>
        <w:rPr>
          <w:sz w:val="16"/>
        </w:rPr>
        <w:t xml:space="preserve">   </w:t>
      </w:r>
      <w:r>
        <w:rPr>
          <w:sz w:val="16"/>
          <w:vertAlign w:val="superscript"/>
        </w:rPr>
        <w:t xml:space="preserve">d </w:t>
      </w:r>
      <w:r w:rsidRPr="00DF0282">
        <w:rPr>
          <w:sz w:val="16"/>
        </w:rPr>
        <w:t xml:space="preserve">Universidad </w:t>
      </w:r>
      <w:r>
        <w:rPr>
          <w:sz w:val="16"/>
        </w:rPr>
        <w:t xml:space="preserve">Nacional José Faustino Sánchez Carrión </w:t>
      </w:r>
      <w:r w:rsidRPr="000631FC">
        <w:rPr>
          <w:sz w:val="16"/>
        </w:rPr>
        <w:t>,</w:t>
      </w:r>
      <w:r w:rsidRPr="009503BB">
        <w:rPr>
          <w:sz w:val="16"/>
        </w:rPr>
        <w:t xml:space="preserve">Av. Mercedes Indacochea N°609 </w:t>
      </w:r>
      <w:r>
        <w:rPr>
          <w:sz w:val="16"/>
        </w:rPr>
        <w:t>, Huacho,</w:t>
      </w:r>
      <w:r w:rsidRPr="00DF0282">
        <w:rPr>
          <w:spacing w:val="-4"/>
          <w:sz w:val="16"/>
        </w:rPr>
        <w:t>Perú</w:t>
      </w:r>
    </w:p>
    <w:p w14:paraId="3A2CC1C3" w14:textId="77777777" w:rsidR="000D3913" w:rsidRDefault="000D3913" w:rsidP="000D3913">
      <w:pPr>
        <w:ind w:left="145"/>
        <w:rPr>
          <w:sz w:val="16"/>
        </w:rPr>
      </w:pPr>
      <w:r>
        <w:rPr>
          <w:sz w:val="16"/>
          <w:vertAlign w:val="superscript"/>
        </w:rPr>
        <w:t>e</w:t>
      </w:r>
      <w:r>
        <w:rPr>
          <w:spacing w:val="-15"/>
          <w:sz w:val="16"/>
        </w:rPr>
        <w:t xml:space="preserve"> </w:t>
      </w:r>
      <w:r w:rsidRPr="00DF0282">
        <w:rPr>
          <w:sz w:val="16"/>
        </w:rPr>
        <w:t>Universidad Nacional</w:t>
      </w:r>
      <w:r w:rsidRPr="00DF0282">
        <w:rPr>
          <w:spacing w:val="40"/>
          <w:sz w:val="16"/>
        </w:rPr>
        <w:t xml:space="preserve"> </w:t>
      </w:r>
      <w:r w:rsidRPr="00DF0282">
        <w:rPr>
          <w:sz w:val="16"/>
        </w:rPr>
        <w:t xml:space="preserve">de Ucayali, Carretera Federico Basadre Km 6.2, Pucallpa , Perú </w:t>
      </w:r>
    </w:p>
    <w:p w14:paraId="62122DBB" w14:textId="606764DA" w:rsidR="000D3913" w:rsidRDefault="000D3913" w:rsidP="000D3913">
      <w:pPr>
        <w:ind w:left="145"/>
        <w:rPr>
          <w:sz w:val="16"/>
        </w:rPr>
      </w:pPr>
      <w:r>
        <w:rPr>
          <w:sz w:val="16"/>
          <w:vertAlign w:val="superscript"/>
        </w:rPr>
        <w:t>f</w:t>
      </w:r>
      <w:r>
        <w:rPr>
          <w:spacing w:val="-15"/>
          <w:sz w:val="16"/>
        </w:rPr>
        <w:t xml:space="preserve"> </w:t>
      </w:r>
      <w:r w:rsidRPr="00DF0282">
        <w:rPr>
          <w:sz w:val="16"/>
        </w:rPr>
        <w:t xml:space="preserve">Universidad </w:t>
      </w:r>
      <w:r>
        <w:rPr>
          <w:sz w:val="16"/>
        </w:rPr>
        <w:t xml:space="preserve">Tecnológica del Perú </w:t>
      </w:r>
      <w:r w:rsidRPr="00DF0282">
        <w:rPr>
          <w:sz w:val="16"/>
        </w:rPr>
        <w:t>,</w:t>
      </w:r>
      <w:r w:rsidRPr="00043CB3">
        <w:rPr>
          <w:sz w:val="16"/>
        </w:rPr>
        <w:t xml:space="preserve"> Calle. Natalio Sánchez N° 125,</w:t>
      </w:r>
      <w:r w:rsidRPr="00DF0282">
        <w:rPr>
          <w:sz w:val="16"/>
        </w:rPr>
        <w:t xml:space="preserve"> </w:t>
      </w:r>
      <w:r>
        <w:rPr>
          <w:sz w:val="16"/>
        </w:rPr>
        <w:t>Lima</w:t>
      </w:r>
      <w:r w:rsidRPr="00DF0282">
        <w:rPr>
          <w:sz w:val="16"/>
        </w:rPr>
        <w:t xml:space="preserve"> , Perú</w:t>
      </w:r>
    </w:p>
    <w:p w14:paraId="653F90AF" w14:textId="562739AF" w:rsidR="002E4201" w:rsidRPr="00DE18A8" w:rsidRDefault="002E4201" w:rsidP="002E4201">
      <w:pPr>
        <w:spacing w:before="23"/>
        <w:rPr>
          <w:sz w:val="16"/>
        </w:rPr>
      </w:pPr>
      <w:bookmarkStart w:id="1" w:name="_Hlk225396063"/>
      <w:r>
        <w:rPr>
          <w:spacing w:val="-2"/>
          <w:sz w:val="16"/>
        </w:rPr>
        <w:t xml:space="preserve">    </w:t>
      </w:r>
      <w:r w:rsidR="001B2D76">
        <w:rPr>
          <w:spacing w:val="-2"/>
          <w:sz w:val="16"/>
        </w:rPr>
        <w:t>*</w:t>
      </w:r>
      <w:r w:rsidRPr="002E4201">
        <w:rPr>
          <w:spacing w:val="-2"/>
          <w:sz w:val="16"/>
        </w:rPr>
        <w:t xml:space="preserve"> </w:t>
      </w:r>
      <w:r w:rsidRPr="00DE18A8">
        <w:rPr>
          <w:spacing w:val="-2"/>
          <w:sz w:val="16"/>
        </w:rPr>
        <w:t>corresponding:</w:t>
      </w:r>
      <w:r w:rsidRPr="00F71C41">
        <w:t xml:space="preserve"> </w:t>
      </w:r>
      <w:r w:rsidRPr="00F71C41">
        <w:rPr>
          <w:sz w:val="16"/>
          <w:szCs w:val="16"/>
        </w:rPr>
        <w:t>wsantos@continental.edu.pe</w:t>
      </w:r>
    </w:p>
    <w:p w14:paraId="5E4000F9" w14:textId="529E6DE7" w:rsidR="001B2D76" w:rsidRDefault="001B2D76" w:rsidP="000D3913">
      <w:pPr>
        <w:ind w:left="145"/>
        <w:rPr>
          <w:sz w:val="16"/>
        </w:rPr>
      </w:pPr>
    </w:p>
    <w:bookmarkEnd w:id="1"/>
    <w:p w14:paraId="108C3DDC" w14:textId="77777777" w:rsidR="00F579F0" w:rsidRDefault="00F579F0" w:rsidP="00AA4008">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val="es-ES"/>
        </w:rPr>
      </w:pPr>
    </w:p>
    <w:p w14:paraId="0938D6F5" w14:textId="77777777" w:rsidR="00F579F0" w:rsidRPr="002E4201" w:rsidRDefault="00F579F0" w:rsidP="00F579F0">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lang w:val="en-US"/>
        </w:rPr>
      </w:pPr>
      <w:r w:rsidRPr="002E4201">
        <w:rPr>
          <w:lang w:val="en-US"/>
        </w:rPr>
        <w:t>Agroforestry systems (AFS) in coffee plantations absorb carbon dioxide, thus contributing to climate change mitigation. Furthermore, payments for environmental services related to carbon sequestration and storage represent an alternative way to generate added value for production, which will benefit coffee producers.</w:t>
      </w:r>
    </w:p>
    <w:p w14:paraId="2FDFC32F" w14:textId="77777777" w:rsidR="00F579F0" w:rsidRPr="002E4201" w:rsidRDefault="00F579F0" w:rsidP="00F579F0">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lang w:val="en-US"/>
        </w:rPr>
      </w:pPr>
      <w:r w:rsidRPr="002E4201">
        <w:rPr>
          <w:lang w:val="en-US"/>
        </w:rPr>
        <w:t>The purpose of this study was to quantify the carbon sequestered and stored in agroforestry systems for coffee plantations. To analyze the extent to which AFS impacts environmental services in coffee cultivation, the Guide for Carbon Determination in Small Rural Properties, a methodology of the World Agroforestry Centre (ICRAF), was used. The study was conducted in the Bolognesi and Divisoria areas, located in Aucayacu, Huánuco region, where 10 soil samples and 10 samples of leaves and fruit were collected from each area to obtain carbon data. These samples were analyzed in the laboratories of the National Agrarian University of the Jungle and at Servicios Analíticos Generales S.A.C., where carbon sequestration in soil, leaves, and fruit was estimated. The economic value of each sample was also determined. The highest carbon sequestration for the Bolognesi area was 33.4g, and for the Divisoria area, it was 34.6g, resulting in a maximum economic value of 9 and 8.8 soles, respectively. The results indicate that the agroforestry system (SAF) does not significantly impact "environmental services" with regard to carbon sequestration capacity in coffee cultivation, as other factors such as shade percentage, nutrients, fertilizer, etc., are involved.</w:t>
      </w:r>
    </w:p>
    <w:p w14:paraId="4E9003D4" w14:textId="77777777" w:rsidR="00F579F0" w:rsidRPr="002E4201" w:rsidRDefault="00F579F0" w:rsidP="00F579F0">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lang w:val="en-US"/>
        </w:rPr>
      </w:pPr>
    </w:p>
    <w:p w14:paraId="3D9AECAD" w14:textId="41AAA99A" w:rsidR="004212F8" w:rsidRPr="002E4201" w:rsidRDefault="004212F8" w:rsidP="004212F8">
      <w:pPr>
        <w:rPr>
          <w:lang w:val="en-US"/>
        </w:rPr>
      </w:pPr>
    </w:p>
    <w:p w14:paraId="6681A49C" w14:textId="5AD70A2B" w:rsidR="009128F2" w:rsidRPr="006B0687" w:rsidRDefault="0071167C" w:rsidP="009128F2">
      <w:pPr>
        <w:pStyle w:val="CETBodytext"/>
        <w:rPr>
          <w:b/>
        </w:rPr>
      </w:pPr>
      <w:r w:rsidRPr="006B0687">
        <w:rPr>
          <w:b/>
        </w:rPr>
        <w:t>Introduction</w:t>
      </w:r>
    </w:p>
    <w:p w14:paraId="67481BC6" w14:textId="77777777" w:rsidR="004E1E6F" w:rsidRDefault="004E1E6F" w:rsidP="009128F2">
      <w:pPr>
        <w:pStyle w:val="CETBodytext"/>
        <w:rPr>
          <w:b/>
          <w:sz w:val="24"/>
          <w:szCs w:val="24"/>
          <w:lang w:val="en-GB"/>
        </w:rPr>
      </w:pPr>
    </w:p>
    <w:p w14:paraId="2DE77EA9" w14:textId="105C20B6" w:rsidR="004E1E6F" w:rsidRPr="002E4201" w:rsidRDefault="004E1E6F" w:rsidP="009128F2">
      <w:pPr>
        <w:pStyle w:val="CETBodytext"/>
        <w:rPr>
          <w:noProof/>
        </w:rPr>
      </w:pPr>
      <w:r w:rsidRPr="002E4201">
        <w:rPr>
          <w:noProof/>
        </w:rPr>
        <w:t>Climate change is a global threat, with carbon dioxide a greenhouse gas, being one of the main contributing factors.Agroforestry systems contr</w:t>
      </w:r>
      <w:r w:rsidR="00B82DBF" w:rsidRPr="002E4201">
        <w:rPr>
          <w:noProof/>
        </w:rPr>
        <w:t>ibute to carbon sequestration in biomass(through photosynthesis) and soils(th</w:t>
      </w:r>
      <w:r w:rsidR="00AC73DF" w:rsidRPr="002E4201">
        <w:rPr>
          <w:noProof/>
        </w:rPr>
        <w:t>rough the accumulation of organic matter).If managed properly, thses systems can mitigate the effects of climate change, particularly on microclimates, whinch vary depending on location, geography, anda altitude. An agr</w:t>
      </w:r>
      <w:r w:rsidR="003B131C" w:rsidRPr="002E4201">
        <w:rPr>
          <w:noProof/>
        </w:rPr>
        <w:t xml:space="preserve">oforestry sytem is considered a land-use method where trees or shrubs interact strattegically, biologically within a cultivated area to </w:t>
      </w:r>
      <w:r w:rsidR="00647A48" w:rsidRPr="002E4201">
        <w:rPr>
          <w:noProof/>
        </w:rPr>
        <w:t xml:space="preserve">achieve sustainable development. </w:t>
      </w:r>
      <w:r w:rsidR="00A4412F" w:rsidRPr="002E4201">
        <w:rPr>
          <w:noProof/>
        </w:rPr>
        <w:t>They</w:t>
      </w:r>
      <w:r w:rsidR="00647A48" w:rsidRPr="002E4201">
        <w:rPr>
          <w:noProof/>
        </w:rPr>
        <w:t xml:space="preserve"> must meet three conditions: the presence of at least  two interacting species, the inclusion of at least one evergreen tree, and the management of at least two components with the same productive purpose.</w:t>
      </w:r>
      <w:r w:rsidR="00647A48" w:rsidRPr="002E4201">
        <w:rPr>
          <w:szCs w:val="24"/>
        </w:rPr>
        <w:t xml:space="preserve"> (</w:t>
      </w:r>
      <w:proofErr w:type="spellStart"/>
      <w:r w:rsidR="00647A48" w:rsidRPr="002E4201">
        <w:rPr>
          <w:szCs w:val="24"/>
        </w:rPr>
        <w:t>Serfor</w:t>
      </w:r>
      <w:proofErr w:type="spellEnd"/>
      <w:r w:rsidR="00647A48" w:rsidRPr="002E4201">
        <w:rPr>
          <w:szCs w:val="24"/>
        </w:rPr>
        <w:t xml:space="preserve"> et al., 2021).</w:t>
      </w:r>
    </w:p>
    <w:p w14:paraId="2A4D4E0F" w14:textId="77777777" w:rsidR="009A7EB0" w:rsidRDefault="009A7EB0" w:rsidP="0071167C">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GB"/>
        </w:rPr>
      </w:pPr>
    </w:p>
    <w:p w14:paraId="531DB424" w14:textId="676F0CDC" w:rsidR="0071167C" w:rsidRPr="0071167C" w:rsidRDefault="0071167C" w:rsidP="0071167C">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GB"/>
        </w:rPr>
      </w:pPr>
      <w:r w:rsidRPr="0071167C">
        <w:rPr>
          <w:noProof w:val="0"/>
          <w:lang w:val="en-GB"/>
        </w:rPr>
        <w:t xml:space="preserve">The importance and benefits of an agroforestry system (AFS) lie in its ability to foster multifunctional agriculture, diversifying production and increasing yields. The percentage of shade must be carefully considered, as inadequate shade can negatively impact the provision of multiple ecosystem services. Shade levels play a </w:t>
      </w:r>
      <w:r w:rsidRPr="0071167C">
        <w:rPr>
          <w:noProof w:val="0"/>
          <w:lang w:val="en-GB"/>
        </w:rPr>
        <w:lastRenderedPageBreak/>
        <w:t xml:space="preserve">crucial role; excessive levels can lead to increased competition for light, water, and soil nutrients, resulting in decreased productivity (Zuidema et al., 2005). Furthermore, it may require more </w:t>
      </w:r>
      <w:proofErr w:type="spellStart"/>
      <w:r w:rsidRPr="0071167C">
        <w:rPr>
          <w:noProof w:val="0"/>
          <w:lang w:val="en-GB"/>
        </w:rPr>
        <w:t>labor</w:t>
      </w:r>
      <w:proofErr w:type="spellEnd"/>
      <w:r w:rsidRPr="0071167C">
        <w:rPr>
          <w:noProof w:val="0"/>
          <w:lang w:val="en-GB"/>
        </w:rPr>
        <w:t xml:space="preserve"> and increase the risk of insect or pathogen infestations, depending on the composition and management of each tree species.</w:t>
      </w:r>
    </w:p>
    <w:p w14:paraId="7F8365C0" w14:textId="77B43DA1" w:rsidR="0071167C" w:rsidRPr="0071167C" w:rsidRDefault="009938F3" w:rsidP="009A7EB0">
      <w:pPr>
        <w:pStyle w:val="CETBodytext"/>
        <w:rPr>
          <w:lang w:val="en-GB"/>
        </w:rPr>
      </w:pPr>
      <w:proofErr w:type="gramStart"/>
      <w:r>
        <w:rPr>
          <w:lang w:val="en-GB"/>
        </w:rPr>
        <w:t>.</w:t>
      </w:r>
      <w:r w:rsidR="0071167C" w:rsidRPr="0071167C">
        <w:rPr>
          <w:lang w:val="en-GB"/>
        </w:rPr>
        <w:t>Coffee</w:t>
      </w:r>
      <w:proofErr w:type="gramEnd"/>
      <w:r w:rsidR="0071167C" w:rsidRPr="0071167C">
        <w:rPr>
          <w:lang w:val="en-GB"/>
        </w:rPr>
        <w:t xml:space="preserve"> agroforestry systems can achieve more sustainable production by employing spacing between species within the same agricultural area that allows for compatibility in water, soil, and sunlight use. These should be interspersed with shade trees to increase nutrient availability, biodiversity, and carbon storage. The amount of carbon that can be stored in the soil depends on its characteristics, the inputs and outputs of organic carbon from plant and animal sources, system management, tree structure, diversity and density, tree age, and their diameter and height in each stratum, all of which are determined by social, economic, and climatic factors (</w:t>
      </w:r>
      <w:proofErr w:type="spellStart"/>
      <w:r w:rsidR="0071167C" w:rsidRPr="0071167C">
        <w:rPr>
          <w:lang w:val="en-GB"/>
        </w:rPr>
        <w:t>Madountsap</w:t>
      </w:r>
      <w:proofErr w:type="spellEnd"/>
      <w:r w:rsidR="0071167C" w:rsidRPr="0071167C">
        <w:rPr>
          <w:lang w:val="en-GB"/>
        </w:rPr>
        <w:t xml:space="preserve"> </w:t>
      </w:r>
      <w:proofErr w:type="spellStart"/>
      <w:r w:rsidR="0071167C" w:rsidRPr="0071167C">
        <w:rPr>
          <w:lang w:val="en-GB"/>
        </w:rPr>
        <w:t>Tagnang</w:t>
      </w:r>
      <w:proofErr w:type="spellEnd"/>
      <w:r w:rsidR="0071167C" w:rsidRPr="0071167C">
        <w:rPr>
          <w:lang w:val="en-GB"/>
        </w:rPr>
        <w:t xml:space="preserve"> et al., 2019; Salgado-Mora et al., 2018).</w:t>
      </w:r>
    </w:p>
    <w:p w14:paraId="6232ED2E" w14:textId="77777777" w:rsidR="0071167C" w:rsidRDefault="0071167C" w:rsidP="00037028">
      <w:pPr>
        <w:pStyle w:val="CETBodytext"/>
      </w:pPr>
    </w:p>
    <w:p w14:paraId="292F842B" w14:textId="5F599C0F" w:rsidR="0071167C" w:rsidRPr="002E4201" w:rsidRDefault="0071167C" w:rsidP="0071167C">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inherit" w:hAnsi="inherit" w:cs="Courier New"/>
          <w:noProof w:val="0"/>
          <w:color w:val="1F1F1F"/>
          <w:sz w:val="42"/>
          <w:szCs w:val="42"/>
          <w:lang w:val="en-US" w:eastAsia="es-PE"/>
        </w:rPr>
      </w:pPr>
      <w:r w:rsidRPr="0071167C">
        <w:rPr>
          <w:noProof w:val="0"/>
          <w:lang w:val="en-GB"/>
        </w:rPr>
        <w:t>Carbon stocks in agroforestry systems can range from 20 to 204 tons of carbon per hectare (t C ha</w:t>
      </w:r>
      <w:r w:rsidRPr="0071167C">
        <w:rPr>
          <w:rFonts w:ascii="Cambria Math" w:hAnsi="Cambria Math" w:cs="Cambria Math"/>
          <w:noProof w:val="0"/>
          <w:lang w:val="en-GB"/>
        </w:rPr>
        <w:t>⁻</w:t>
      </w:r>
      <w:r w:rsidRPr="0071167C">
        <w:rPr>
          <w:rFonts w:cs="Arial"/>
          <w:noProof w:val="0"/>
          <w:lang w:val="en-GB"/>
        </w:rPr>
        <w:t>¹</w:t>
      </w:r>
      <w:r w:rsidRPr="0071167C">
        <w:rPr>
          <w:noProof w:val="0"/>
          <w:lang w:val="en-GB"/>
        </w:rPr>
        <w:t>), stored in the soil and potentially increasing annually by 1.8 to 5.2 t C ha</w:t>
      </w:r>
      <w:r w:rsidRPr="0071167C">
        <w:rPr>
          <w:rFonts w:ascii="Cambria Math" w:hAnsi="Cambria Math" w:cs="Cambria Math"/>
          <w:noProof w:val="0"/>
          <w:lang w:val="en-GB"/>
        </w:rPr>
        <w:t>⁻</w:t>
      </w:r>
      <w:r w:rsidRPr="0071167C">
        <w:rPr>
          <w:rFonts w:cs="Arial"/>
          <w:noProof w:val="0"/>
          <w:lang w:val="en-GB"/>
        </w:rPr>
        <w:t>¹</w:t>
      </w:r>
      <w:r w:rsidRPr="0071167C">
        <w:rPr>
          <w:noProof w:val="0"/>
          <w:lang w:val="en-GB"/>
        </w:rPr>
        <w:t>. Carbon storage occurs during photosynthesis. Methodologies such as those of the Intergovernmental Panel on Climate Change (IPCC) are used for reforestation and afforestation projects, and those of TÜV SÜD Industrie for emissions reduction production</w:t>
      </w:r>
      <w:r>
        <w:rPr>
          <w:noProof w:val="0"/>
          <w:lang w:val="en-GB"/>
        </w:rPr>
        <w:t xml:space="preserve">   </w:t>
      </w:r>
      <w:r w:rsidRPr="0071167C">
        <w:rPr>
          <w:noProof w:val="0"/>
          <w:lang w:val="en-GB"/>
        </w:rPr>
        <w:t>projects. Both methodologies can be used to quantify carbon stocks for projects.</w:t>
      </w:r>
      <w:r>
        <w:rPr>
          <w:rFonts w:ascii="inherit" w:hAnsi="inherit" w:cs="Courier New"/>
          <w:noProof w:val="0"/>
          <w:color w:val="1F1F1F"/>
          <w:sz w:val="42"/>
          <w:szCs w:val="42"/>
          <w:lang w:val="en" w:eastAsia="es-PE"/>
        </w:rPr>
        <w:t xml:space="preserve">                              </w:t>
      </w:r>
    </w:p>
    <w:p w14:paraId="5A359313" w14:textId="79E4D322" w:rsidR="00C557FA" w:rsidRPr="0071167C" w:rsidRDefault="0060758A" w:rsidP="00037028">
      <w:pPr>
        <w:pStyle w:val="CETBodytext"/>
        <w:rPr>
          <w:lang w:val="en-GB"/>
        </w:rPr>
      </w:pPr>
      <w:r>
        <w:rPr>
          <w:lang w:val="en-GB"/>
        </w:rPr>
        <w:t>.</w:t>
      </w:r>
    </w:p>
    <w:p w14:paraId="72CC7DCD" w14:textId="1955231B" w:rsidR="0071167C" w:rsidRPr="002E4201" w:rsidRDefault="0071167C" w:rsidP="0071167C">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inherit" w:hAnsi="inherit" w:cs="Courier New"/>
          <w:noProof w:val="0"/>
          <w:color w:val="1F1F1F"/>
          <w:sz w:val="42"/>
          <w:szCs w:val="42"/>
          <w:lang w:val="en-US" w:eastAsia="es-PE"/>
        </w:rPr>
      </w:pPr>
      <w:r w:rsidRPr="0071167C">
        <w:rPr>
          <w:noProof w:val="0"/>
          <w:lang w:val="en-GB"/>
        </w:rPr>
        <w:t>Carbon storage or sequestration can offer the benefit of payment for environmental services. Carbon storage provides a resource for biodiversity conservation and adds value to farmers' production. It also contributes to forest conservation and restoration, which is a significant benefit to local communities. These mechanisms provide economic compensation to individuals who provide environmental services.</w:t>
      </w:r>
    </w:p>
    <w:p w14:paraId="02E35CE2" w14:textId="77777777" w:rsidR="009A7EB0" w:rsidRDefault="009A7EB0" w:rsidP="00BD1130">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GB"/>
        </w:rPr>
      </w:pPr>
    </w:p>
    <w:p w14:paraId="02AD948D" w14:textId="777C9EC1" w:rsidR="00BD1130" w:rsidRPr="00BD1130" w:rsidRDefault="00BD1130" w:rsidP="00BD1130">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GB"/>
        </w:rPr>
      </w:pPr>
      <w:r w:rsidRPr="00BD1130">
        <w:rPr>
          <w:noProof w:val="0"/>
          <w:lang w:val="en-GB"/>
        </w:rPr>
        <w:t xml:space="preserve">Environmental services (ES) generated by natural ecosystems and environmentally friendly land uses are characterized as positive externalities. That is, environmental services are positive side effects of an agent's land use and management decisions, without the agent receiving economic compensation from those benefiting from the ES provided. Therefore, the alteration and destruction of ecosystems that provide ES is primarily </w:t>
      </w:r>
      <w:proofErr w:type="gramStart"/>
      <w:r w:rsidRPr="00BD1130">
        <w:rPr>
          <w:noProof w:val="0"/>
          <w:lang w:val="en-GB"/>
        </w:rPr>
        <w:t>due to the fact that</w:t>
      </w:r>
      <w:proofErr w:type="gramEnd"/>
      <w:r w:rsidRPr="00BD1130">
        <w:rPr>
          <w:noProof w:val="0"/>
          <w:lang w:val="en-GB"/>
        </w:rPr>
        <w:t xml:space="preserve"> ES providers lack an economic incentive to consider the ES generated by their land when deciding how to use it.</w:t>
      </w:r>
    </w:p>
    <w:p w14:paraId="3DC314EB" w14:textId="58AD49FD" w:rsidR="00BD1130" w:rsidRPr="00BD1130" w:rsidRDefault="00275D06" w:rsidP="009A7EB0">
      <w:pPr>
        <w:pStyle w:val="CETBodytext"/>
        <w:rPr>
          <w:lang w:val="en-GB"/>
        </w:rPr>
      </w:pPr>
      <w:proofErr w:type="gramStart"/>
      <w:r w:rsidRPr="00BD1130">
        <w:rPr>
          <w:lang w:val="en-GB"/>
        </w:rPr>
        <w:t>.</w:t>
      </w:r>
      <w:r w:rsidR="00BD1130" w:rsidRPr="00BD1130">
        <w:rPr>
          <w:lang w:val="en-GB"/>
        </w:rPr>
        <w:t>Implementing</w:t>
      </w:r>
      <w:proofErr w:type="gramEnd"/>
      <w:r w:rsidR="00BD1130" w:rsidRPr="00BD1130">
        <w:rPr>
          <w:lang w:val="en-GB"/>
        </w:rPr>
        <w:t xml:space="preserve"> agroforestry management systems for coffee to increase productivity without jeopardizing plantations will allow coffee growers to integrate into the global economy by selling specialty coffees grown at high altitudes and to compete in these markets using sustainability criteria. Agroforestry systems will allow for higher production and, in addition, represent an alternative for coffee growers by reducing their dependence on a single crop, generally increasing farm profitability. (Recalde, 2023).</w:t>
      </w:r>
    </w:p>
    <w:p w14:paraId="094D8C6E" w14:textId="77777777" w:rsidR="003013C3" w:rsidRDefault="003013C3" w:rsidP="00037028">
      <w:pPr>
        <w:pStyle w:val="CETBodytext"/>
      </w:pPr>
    </w:p>
    <w:p w14:paraId="782407A9" w14:textId="04BBC1B0" w:rsidR="003013C3" w:rsidRPr="00BD1130" w:rsidRDefault="009A7EB0" w:rsidP="00BD1130">
      <w:pPr>
        <w:pStyle w:val="CETBodytext"/>
        <w:spacing w:line="276" w:lineRule="auto"/>
        <w:rPr>
          <w:lang w:val="en-GB"/>
        </w:rPr>
      </w:pPr>
      <w:r>
        <w:rPr>
          <w:lang w:val="en-GB"/>
        </w:rPr>
        <w:t>This research aims to generate technical and scientific information to determine the amount of carbon stored</w:t>
      </w:r>
      <w:r w:rsidR="002500F1">
        <w:rPr>
          <w:lang w:val="en-GB"/>
        </w:rPr>
        <w:t xml:space="preserve"> in the soil of </w:t>
      </w:r>
      <w:proofErr w:type="spellStart"/>
      <w:r w:rsidR="002500F1">
        <w:rPr>
          <w:lang w:val="en-GB"/>
        </w:rPr>
        <w:t>Aucayacu</w:t>
      </w:r>
      <w:proofErr w:type="spellEnd"/>
      <w:r w:rsidR="002500F1">
        <w:rPr>
          <w:lang w:val="en-GB"/>
        </w:rPr>
        <w:t xml:space="preserve"> </w:t>
      </w:r>
      <w:proofErr w:type="spellStart"/>
      <w:r w:rsidR="002500F1">
        <w:rPr>
          <w:lang w:val="en-GB"/>
        </w:rPr>
        <w:t>anda</w:t>
      </w:r>
      <w:proofErr w:type="spellEnd"/>
      <w:r w:rsidR="002500F1">
        <w:rPr>
          <w:lang w:val="en-GB"/>
        </w:rPr>
        <w:t xml:space="preserve"> another area with similar conditions. To this end, 10 samples were taken </w:t>
      </w:r>
      <w:proofErr w:type="spellStart"/>
      <w:r w:rsidR="002500F1">
        <w:rPr>
          <w:lang w:val="en-GB"/>
        </w:rPr>
        <w:t>fom</w:t>
      </w:r>
      <w:proofErr w:type="spellEnd"/>
      <w:r w:rsidR="002500F1">
        <w:rPr>
          <w:lang w:val="en-GB"/>
        </w:rPr>
        <w:t xml:space="preserve"> the Bolognesi and Divisoria zones, each representing different altitudinal </w:t>
      </w:r>
      <w:proofErr w:type="spellStart"/>
      <w:r w:rsidR="002500F1">
        <w:rPr>
          <w:lang w:val="en-GB"/>
        </w:rPr>
        <w:t>grandients</w:t>
      </w:r>
      <w:proofErr w:type="spellEnd"/>
      <w:r w:rsidR="002500F1">
        <w:rPr>
          <w:lang w:val="en-GB"/>
        </w:rPr>
        <w:t xml:space="preserve"> Simultaneously, it is possible to propose options for improving soil management and assigning economic value to carbon sequestration in coffee crops; identify adaptations to </w:t>
      </w:r>
      <w:proofErr w:type="spellStart"/>
      <w:r w:rsidR="002500F1">
        <w:rPr>
          <w:lang w:val="en-GB"/>
        </w:rPr>
        <w:t>potencial</w:t>
      </w:r>
      <w:proofErr w:type="spellEnd"/>
      <w:r w:rsidR="002500F1">
        <w:rPr>
          <w:lang w:val="en-GB"/>
        </w:rPr>
        <w:t xml:space="preserve"> harmful climate changes; and provide </w:t>
      </w:r>
      <w:r w:rsidR="00DF54D0">
        <w:rPr>
          <w:lang w:val="en-GB"/>
        </w:rPr>
        <w:t>a foundation for future scientific research.</w:t>
      </w:r>
    </w:p>
    <w:p w14:paraId="402C897F" w14:textId="549B408D" w:rsidR="00443F90" w:rsidRPr="006B0687" w:rsidRDefault="001D494F" w:rsidP="00BD1130">
      <w:pPr>
        <w:pStyle w:val="CETHeading1"/>
        <w:numPr>
          <w:ilvl w:val="0"/>
          <w:numId w:val="0"/>
        </w:numPr>
        <w:rPr>
          <w:sz w:val="18"/>
        </w:rPr>
      </w:pPr>
      <w:r w:rsidRPr="006B0687">
        <w:rPr>
          <w:sz w:val="18"/>
        </w:rPr>
        <w:t>Materials and methods</w:t>
      </w:r>
    </w:p>
    <w:p w14:paraId="322EB5FA" w14:textId="6D991FBF" w:rsidR="001D78B2" w:rsidRDefault="001D78B2" w:rsidP="00DF54D0">
      <w:pPr>
        <w:pStyle w:val="CETBodytext"/>
        <w:rPr>
          <w:lang w:val="en-GB"/>
        </w:rPr>
      </w:pPr>
      <w:r>
        <w:rPr>
          <w:lang w:val="en-GB"/>
        </w:rPr>
        <w:t xml:space="preserve">Data collection took place in the province of </w:t>
      </w:r>
      <w:proofErr w:type="spellStart"/>
      <w:r>
        <w:rPr>
          <w:lang w:val="en-GB"/>
        </w:rPr>
        <w:t>Aucallacu</w:t>
      </w:r>
      <w:proofErr w:type="spellEnd"/>
      <w:r>
        <w:rPr>
          <w:lang w:val="en-GB"/>
        </w:rPr>
        <w:t xml:space="preserve"> over 7 days. Two populations were considered:</w:t>
      </w:r>
    </w:p>
    <w:p w14:paraId="5FE1B938" w14:textId="77777777" w:rsidR="001D78B2" w:rsidRDefault="001D78B2" w:rsidP="00DF54D0">
      <w:pPr>
        <w:pStyle w:val="CETBodytext"/>
        <w:rPr>
          <w:lang w:val="en-GB"/>
        </w:rPr>
      </w:pPr>
    </w:p>
    <w:p w14:paraId="5DC8FE09" w14:textId="2ABB1586" w:rsidR="001D78B2" w:rsidRDefault="001D78B2" w:rsidP="00DF54D0">
      <w:pPr>
        <w:pStyle w:val="CETBodytext"/>
        <w:rPr>
          <w:lang w:val="en-GB"/>
        </w:rPr>
      </w:pPr>
      <w:r>
        <w:rPr>
          <w:lang w:val="en-GB"/>
        </w:rPr>
        <w:t>Population 01: Cultivation with application of agroforestry system (Bolognesi area) at 650</w:t>
      </w:r>
      <w:r w:rsidR="00A52528">
        <w:rPr>
          <w:lang w:val="en-GB"/>
        </w:rPr>
        <w:t xml:space="preserve"> </w:t>
      </w:r>
      <w:proofErr w:type="spellStart"/>
      <w:r>
        <w:rPr>
          <w:lang w:val="en-GB"/>
        </w:rPr>
        <w:t>m.s.n.m</w:t>
      </w:r>
      <w:proofErr w:type="spellEnd"/>
      <w:r>
        <w:rPr>
          <w:lang w:val="en-GB"/>
        </w:rPr>
        <w:t xml:space="preserve">. I </w:t>
      </w:r>
      <w:proofErr w:type="gramStart"/>
      <w:r>
        <w:rPr>
          <w:lang w:val="en-GB"/>
        </w:rPr>
        <w:t>has</w:t>
      </w:r>
      <w:proofErr w:type="gramEnd"/>
      <w:r>
        <w:rPr>
          <w:lang w:val="en-GB"/>
        </w:rPr>
        <w:t xml:space="preserve"> an area of 0.5 ha</w:t>
      </w:r>
      <w:r w:rsidR="00C97352">
        <w:rPr>
          <w:lang w:val="en-GB"/>
        </w:rPr>
        <w:t xml:space="preserve"> </w:t>
      </w:r>
      <w:r>
        <w:rPr>
          <w:lang w:val="en-GB"/>
        </w:rPr>
        <w:t>(</w:t>
      </w:r>
      <w:r w:rsidR="00171660" w:rsidRPr="00531931">
        <w:t>1000 m²</w:t>
      </w:r>
      <w:proofErr w:type="gramStart"/>
      <w:r>
        <w:rPr>
          <w:lang w:val="en-GB"/>
        </w:rPr>
        <w:t>), and</w:t>
      </w:r>
      <w:proofErr w:type="gramEnd"/>
      <w:r>
        <w:rPr>
          <w:lang w:val="en-GB"/>
        </w:rPr>
        <w:t xml:space="preserve"> is divided into five plots.</w:t>
      </w:r>
    </w:p>
    <w:p w14:paraId="72861D7D" w14:textId="77777777" w:rsidR="001D78B2" w:rsidRDefault="001D78B2" w:rsidP="00DF54D0">
      <w:pPr>
        <w:pStyle w:val="CETBodytext"/>
        <w:rPr>
          <w:lang w:val="en-GB"/>
        </w:rPr>
      </w:pPr>
    </w:p>
    <w:p w14:paraId="24F7C2DC" w14:textId="0705E403" w:rsidR="00171660" w:rsidRDefault="00171660" w:rsidP="00DF54D0">
      <w:pPr>
        <w:pStyle w:val="CETBodytext"/>
        <w:rPr>
          <w:lang w:val="en-GB"/>
        </w:rPr>
      </w:pPr>
      <w:r>
        <w:rPr>
          <w:lang w:val="en-GB"/>
        </w:rPr>
        <w:t xml:space="preserve">Population 02: Cultivation without the application of an agroforestry or conventional </w:t>
      </w:r>
      <w:proofErr w:type="gramStart"/>
      <w:r>
        <w:rPr>
          <w:lang w:val="en-GB"/>
        </w:rPr>
        <w:t>system(</w:t>
      </w:r>
      <w:proofErr w:type="gramEnd"/>
      <w:r>
        <w:rPr>
          <w:lang w:val="en-GB"/>
        </w:rPr>
        <w:t xml:space="preserve">Divisoria area) at 500 </w:t>
      </w:r>
      <w:proofErr w:type="spellStart"/>
      <w:r>
        <w:rPr>
          <w:lang w:val="en-GB"/>
        </w:rPr>
        <w:t>m.s.n.m</w:t>
      </w:r>
      <w:proofErr w:type="spellEnd"/>
      <w:r>
        <w:rPr>
          <w:lang w:val="en-GB"/>
        </w:rPr>
        <w:t xml:space="preserve">. It has </w:t>
      </w:r>
      <w:r w:rsidR="00574ED7">
        <w:rPr>
          <w:lang w:val="en-GB"/>
        </w:rPr>
        <w:t>an approximate area of 0.5 ha</w:t>
      </w:r>
      <w:r w:rsidR="00C97352">
        <w:rPr>
          <w:lang w:val="en-GB"/>
        </w:rPr>
        <w:t xml:space="preserve"> (</w:t>
      </w:r>
      <w:r w:rsidR="00C97352" w:rsidRPr="00531931">
        <w:t>1000 m²</w:t>
      </w:r>
      <w:r w:rsidR="00C97352">
        <w:rPr>
          <w:lang w:val="en-GB"/>
        </w:rPr>
        <w:t xml:space="preserve">) and is divided into </w:t>
      </w:r>
      <w:proofErr w:type="spellStart"/>
      <w:r w:rsidR="00C97352">
        <w:rPr>
          <w:lang w:val="en-GB"/>
        </w:rPr>
        <w:t>fiva</w:t>
      </w:r>
      <w:proofErr w:type="spellEnd"/>
      <w:r w:rsidR="00C97352">
        <w:rPr>
          <w:lang w:val="en-GB"/>
        </w:rPr>
        <w:t xml:space="preserve"> plots.</w:t>
      </w:r>
    </w:p>
    <w:p w14:paraId="4066042E" w14:textId="77777777" w:rsidR="00C97352" w:rsidRDefault="00C97352" w:rsidP="00DF54D0">
      <w:pPr>
        <w:pStyle w:val="CETBodytext"/>
        <w:rPr>
          <w:lang w:val="en-GB"/>
        </w:rPr>
      </w:pPr>
    </w:p>
    <w:p w14:paraId="3E46E91C" w14:textId="0BA975D8" w:rsidR="00C97352" w:rsidRDefault="002629FF" w:rsidP="00DF54D0">
      <w:pPr>
        <w:pStyle w:val="CETBodytext"/>
        <w:rPr>
          <w:lang w:val="en-GB"/>
        </w:rPr>
      </w:pPr>
      <w:r>
        <w:rPr>
          <w:lang w:val="en-GB"/>
        </w:rPr>
        <w:t xml:space="preserve">Both populations </w:t>
      </w:r>
      <w:proofErr w:type="gramStart"/>
      <w:r>
        <w:rPr>
          <w:lang w:val="en-GB"/>
        </w:rPr>
        <w:t>were located in</w:t>
      </w:r>
      <w:proofErr w:type="gramEnd"/>
      <w:r>
        <w:rPr>
          <w:lang w:val="en-GB"/>
        </w:rPr>
        <w:t xml:space="preserve"> coffee-producing areas in </w:t>
      </w:r>
      <w:proofErr w:type="spellStart"/>
      <w:r>
        <w:rPr>
          <w:lang w:val="en-GB"/>
        </w:rPr>
        <w:t>Aucayacu</w:t>
      </w:r>
      <w:proofErr w:type="spellEnd"/>
      <w:r>
        <w:rPr>
          <w:lang w:val="en-GB"/>
        </w:rPr>
        <w:t xml:space="preserve">, José Crespo district, and </w:t>
      </w:r>
      <w:proofErr w:type="gramStart"/>
      <w:r>
        <w:rPr>
          <w:lang w:val="en-GB"/>
        </w:rPr>
        <w:t>Castilla ,</w:t>
      </w:r>
      <w:proofErr w:type="gramEnd"/>
      <w:r>
        <w:rPr>
          <w:lang w:val="en-GB"/>
        </w:rPr>
        <w:t xml:space="preserve"> Leoncio Prado province, </w:t>
      </w:r>
      <w:r w:rsidR="00163C46">
        <w:rPr>
          <w:lang w:val="en-GB"/>
        </w:rPr>
        <w:t>Huánuco</w:t>
      </w:r>
      <w:r>
        <w:rPr>
          <w:lang w:val="en-GB"/>
        </w:rPr>
        <w:t xml:space="preserve"> region. Ten soil samples </w:t>
      </w:r>
      <w:proofErr w:type="spellStart"/>
      <w:r>
        <w:rPr>
          <w:lang w:val="en-GB"/>
        </w:rPr>
        <w:t>wewre</w:t>
      </w:r>
      <w:proofErr w:type="spellEnd"/>
      <w:r>
        <w:rPr>
          <w:lang w:val="en-GB"/>
        </w:rPr>
        <w:t xml:space="preserve"> taken from agroforestry systems in the Bolognesi area and ten soil samples </w:t>
      </w:r>
      <w:proofErr w:type="spellStart"/>
      <w:r>
        <w:rPr>
          <w:lang w:val="en-GB"/>
        </w:rPr>
        <w:t>form</w:t>
      </w:r>
      <w:proofErr w:type="spellEnd"/>
      <w:r>
        <w:rPr>
          <w:lang w:val="en-GB"/>
        </w:rPr>
        <w:t xml:space="preserve"> conventional </w:t>
      </w:r>
      <w:r w:rsidR="009E342D">
        <w:rPr>
          <w:lang w:val="en-GB"/>
        </w:rPr>
        <w:t>farming systems</w:t>
      </w:r>
      <w:r>
        <w:rPr>
          <w:lang w:val="en-GB"/>
        </w:rPr>
        <w:t xml:space="preserve"> in the Divisoria area. The samples were collected using a non-probabilistic sampling method.</w:t>
      </w:r>
    </w:p>
    <w:p w14:paraId="3E342092" w14:textId="77777777" w:rsidR="001D78B2" w:rsidRDefault="001D78B2" w:rsidP="00DF54D0">
      <w:pPr>
        <w:pStyle w:val="CETBodytext"/>
        <w:rPr>
          <w:lang w:val="en-GB"/>
        </w:rPr>
      </w:pPr>
    </w:p>
    <w:p w14:paraId="195B806F" w14:textId="0F351E4E" w:rsidR="00DF54D0" w:rsidRDefault="002629FF" w:rsidP="00DF54D0">
      <w:pPr>
        <w:pStyle w:val="CETBodytext"/>
        <w:rPr>
          <w:lang w:val="en-GB"/>
        </w:rPr>
      </w:pPr>
      <w:r>
        <w:rPr>
          <w:lang w:val="en-GB"/>
        </w:rPr>
        <w:t xml:space="preserve">The technique used to collect samples from </w:t>
      </w:r>
      <w:proofErr w:type="spellStart"/>
      <w:r>
        <w:rPr>
          <w:lang w:val="en-GB"/>
        </w:rPr>
        <w:t>pltos</w:t>
      </w:r>
      <w:proofErr w:type="spellEnd"/>
      <w:r>
        <w:rPr>
          <w:lang w:val="en-GB"/>
        </w:rPr>
        <w:t xml:space="preserve"> of both crops for measuring carbon in leaf litter and roots was</w:t>
      </w:r>
      <w:r w:rsidR="0046739F">
        <w:rPr>
          <w:lang w:val="en-GB"/>
        </w:rPr>
        <w:t xml:space="preserve"> the “Guide for the determination of carbon in small rural properties” for the collection of samples for the </w:t>
      </w:r>
      <w:r w:rsidR="0046739F">
        <w:rPr>
          <w:lang w:val="en-GB"/>
        </w:rPr>
        <w:lastRenderedPageBreak/>
        <w:t>measurement of carbon in leaf litter, roots and for the determination of carbon in soil samples the Walkey and Black method was used.</w:t>
      </w:r>
    </w:p>
    <w:p w14:paraId="72CBEAA2" w14:textId="77777777" w:rsidR="00B46880" w:rsidRDefault="00B46880" w:rsidP="00DF54D0">
      <w:pPr>
        <w:pStyle w:val="CETBodytext"/>
        <w:rPr>
          <w:lang w:val="en-GB"/>
        </w:rPr>
      </w:pPr>
    </w:p>
    <w:p w14:paraId="42D59436" w14:textId="050317EA" w:rsidR="00B46880" w:rsidRDefault="00B46880" w:rsidP="00DF54D0">
      <w:pPr>
        <w:pStyle w:val="CETBodytext"/>
        <w:rPr>
          <w:lang w:val="en-GB"/>
        </w:rPr>
      </w:pPr>
      <w:r>
        <w:rPr>
          <w:lang w:val="en-GB"/>
        </w:rPr>
        <w:t>Comprising 06 stages:</w:t>
      </w:r>
    </w:p>
    <w:p w14:paraId="61B7F16C" w14:textId="77777777" w:rsidR="00370271" w:rsidRDefault="00370271" w:rsidP="00443F90">
      <w:pPr>
        <w:pStyle w:val="CETBodytext"/>
      </w:pPr>
    </w:p>
    <w:p w14:paraId="711685A0" w14:textId="77777777" w:rsidR="00BD1130" w:rsidRPr="00BD1130" w:rsidRDefault="00BD1130" w:rsidP="00BD1130">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sidRPr="00BD1130">
        <w:rPr>
          <w:noProof w:val="0"/>
          <w:lang w:val="en-US"/>
        </w:rPr>
        <w:t>Determination of coverage area: The sampling spaces were delimited with five temporary plots of 1000 m², each divided into two subplots of 50x10m, one of the subplots used for leaf sampling, which was divided into ten equal parts, in the second subplot of 50x10m two plots of 25x10m were established for soil and root sampling; in each of the plots and was located in an area of ​​1m².</w:t>
      </w:r>
    </w:p>
    <w:p w14:paraId="6B4E86C6" w14:textId="77777777" w:rsidR="00370271" w:rsidRDefault="00370271" w:rsidP="00443F90">
      <w:pPr>
        <w:pStyle w:val="CETBodytext"/>
      </w:pPr>
    </w:p>
    <w:p w14:paraId="7E9465C1" w14:textId="1E1090BB" w:rsidR="00FF0D1E" w:rsidRDefault="00BD1130"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sidRPr="00BD1130">
        <w:rPr>
          <w:noProof w:val="0"/>
          <w:lang w:val="en-US"/>
        </w:rPr>
        <w:t xml:space="preserve">Soil sample collection: Four test pits </w:t>
      </w:r>
      <w:proofErr w:type="gramStart"/>
      <w:r w:rsidRPr="00BD1130">
        <w:rPr>
          <w:noProof w:val="0"/>
          <w:lang w:val="en-US"/>
        </w:rPr>
        <w:t>measuring</w:t>
      </w:r>
      <w:proofErr w:type="gramEnd"/>
      <w:r w:rsidRPr="00BD1130">
        <w:rPr>
          <w:noProof w:val="0"/>
          <w:lang w:val="en-US"/>
        </w:rPr>
        <w:t xml:space="preserve"> 0.30m x 0.30m x 0.30m were used for sampling depth. Our sample weighed 0.5kg, was then dried in the shade, and subsequently taken to the laboratory for quantification of organic carbon in the soil, where texture and pH were measured.</w:t>
      </w:r>
    </w:p>
    <w:p w14:paraId="4B4140B6" w14:textId="77777777" w:rsidR="00FF0D1E" w:rsidRPr="00FF0D1E" w:rsidRDefault="00FF0D1E"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p>
    <w:p w14:paraId="079659CC" w14:textId="77777777" w:rsidR="00BF5738" w:rsidRPr="00BF5738" w:rsidRDefault="00BF5738" w:rsidP="008C4837">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sidRPr="00BF5738">
        <w:rPr>
          <w:noProof w:val="0"/>
          <w:lang w:val="en-US"/>
        </w:rPr>
        <w:t>Obtaining the sample for the calculation of apparent density: A sample of 92.25 cm³ volume was extracted containing soil (earth, stones, roots), this was placed in plastic bags, to be taken to the laboratory for analysis, drying in an oven at 75°C until a constant weight was obtained</w:t>
      </w:r>
    </w:p>
    <w:p w14:paraId="18ADA852" w14:textId="77777777" w:rsidR="00BF5738" w:rsidRDefault="00BF5738" w:rsidP="008C4837">
      <w:pPr>
        <w:pStyle w:val="CETBodytext"/>
      </w:pPr>
    </w:p>
    <w:p w14:paraId="6D5B6F9F" w14:textId="77777777" w:rsidR="00C43E3F" w:rsidRPr="00C43E3F" w:rsidRDefault="00C43E3F" w:rsidP="008C4837">
      <w:pPr>
        <w:pStyle w:val="CETBodytext"/>
      </w:pPr>
      <w:r w:rsidRPr="00C43E3F">
        <w:t>Leaf litter sampling: all leaf litter, seeds, and branches were collected and placed in plastic bags, coded the sample, and weighed on a digital scale. They were then wrapped in newspaper and dried in an oven at 75°C until a constant weight was obtained.</w:t>
      </w:r>
    </w:p>
    <w:p w14:paraId="00A55582" w14:textId="77777777" w:rsidR="00370271" w:rsidRDefault="00370271" w:rsidP="00443F90">
      <w:pPr>
        <w:pStyle w:val="CETBodytext"/>
      </w:pPr>
    </w:p>
    <w:p w14:paraId="4464D7DC" w14:textId="31FE43B9" w:rsidR="00FF0D1E" w:rsidRDefault="00C43E3F"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sidRPr="00C43E3F">
        <w:rPr>
          <w:noProof w:val="0"/>
          <w:lang w:val="en-US"/>
        </w:rPr>
        <w:t>Obtaining the fine root sample: It was carried out from the same test pit established for the apparent density sampling, obtaining a sample of 0.10 x 0.10 taken to the laboratory performing a washing and sieving, dried in an oven at 75</w:t>
      </w:r>
      <w:r w:rsidR="00B46880">
        <w:rPr>
          <w:noProof w:val="0"/>
          <w:lang w:val="en-US"/>
        </w:rPr>
        <w:t xml:space="preserve"> </w:t>
      </w:r>
      <w:r w:rsidRPr="00C43E3F">
        <w:rPr>
          <w:noProof w:val="0"/>
          <w:lang w:val="en-US"/>
        </w:rPr>
        <w:t>°C until obtaining a constant weight of the roots.</w:t>
      </w:r>
    </w:p>
    <w:p w14:paraId="5968E7BB" w14:textId="77777777" w:rsidR="00FF0D1E" w:rsidRDefault="00FF0D1E"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p>
    <w:p w14:paraId="4CC948B8" w14:textId="3D1BD48E" w:rsidR="00FF0D1E" w:rsidRDefault="00C43E3F"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sidRPr="00C43E3F">
        <w:rPr>
          <w:noProof w:val="0"/>
          <w:lang w:val="en-US"/>
        </w:rPr>
        <w:t>Calculations for obtaining carbon stored in the soil: The formula proposed by Walkley and Black was used</w:t>
      </w:r>
      <w:r w:rsidR="00185288">
        <w:rPr>
          <w:noProof w:val="0"/>
          <w:lang w:val="en-US"/>
        </w:rPr>
        <w:t>:</w:t>
      </w:r>
    </w:p>
    <w:p w14:paraId="3AA6CE2F" w14:textId="77777777" w:rsidR="00185288" w:rsidRDefault="00185288"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p>
    <w:p w14:paraId="47A12266" w14:textId="77777777" w:rsidR="00264F50" w:rsidRDefault="00185288" w:rsidP="00264F50">
      <w:pPr>
        <w:pStyle w:val="CETBodytext"/>
        <w:rPr>
          <w:i/>
          <w:iCs/>
        </w:rPr>
      </w:pPr>
      <m:oMath>
        <m:r>
          <w:rPr>
            <w:rFonts w:ascii="Cambria Math" w:hAnsi="Cambria Math"/>
          </w:rPr>
          <m:t>CA=PC.DA.P</m:t>
        </m:r>
      </m:oMath>
      <w:r>
        <w:rPr>
          <w:i/>
          <w:iCs/>
        </w:rPr>
        <w:t xml:space="preserve">       </w:t>
      </w:r>
    </w:p>
    <w:p w14:paraId="60F8CBF0" w14:textId="4E5E1612" w:rsidR="00185288" w:rsidRPr="00F274FC" w:rsidRDefault="00264F50" w:rsidP="00185288">
      <w:pPr>
        <w:pStyle w:val="CETBodytext"/>
        <w:rPr>
          <w:i/>
          <w:iCs/>
        </w:rPr>
      </w:pPr>
      <w:r w:rsidRPr="00264F50">
        <w:t>Where</w:t>
      </w:r>
      <w:r>
        <w:rPr>
          <w:i/>
          <w:iCs/>
        </w:rPr>
        <w:t>:</w:t>
      </w:r>
      <w:r w:rsidR="00185288" w:rsidRPr="00264F50">
        <w:rPr>
          <w:i/>
          <w:iCs/>
        </w:rPr>
        <w:t xml:space="preserve">  </w:t>
      </w:r>
      <w:r w:rsidR="00185288">
        <w:rPr>
          <w:i/>
          <w:iCs/>
        </w:rPr>
        <w:t xml:space="preserve">                                                                                                                                         </w:t>
      </w:r>
      <w:r w:rsidR="009E342D">
        <w:rPr>
          <w:i/>
          <w:iCs/>
        </w:rPr>
        <w:t xml:space="preserve">                 </w:t>
      </w:r>
      <w:r w:rsidR="00185288">
        <w:rPr>
          <w:i/>
          <w:iCs/>
        </w:rPr>
        <w:t xml:space="preserve">  </w:t>
      </w:r>
      <w:r w:rsidR="00185288" w:rsidRPr="008C430C">
        <w:t>(1)</w:t>
      </w:r>
    </w:p>
    <w:p w14:paraId="49E84041" w14:textId="77777777" w:rsidR="00264F50" w:rsidRDefault="00185288"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Pr>
          <w:noProof w:val="0"/>
          <w:lang w:val="en-US"/>
        </w:rPr>
        <w:t>CA: Stored carbon</w:t>
      </w:r>
    </w:p>
    <w:p w14:paraId="164151D9" w14:textId="77777777" w:rsidR="00264F50" w:rsidRDefault="00185288"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Pr>
          <w:noProof w:val="0"/>
          <w:lang w:val="en-US"/>
        </w:rPr>
        <w:t>PC: Carbon in the soil(%)</w:t>
      </w:r>
    </w:p>
    <w:p w14:paraId="5216B76E" w14:textId="77777777" w:rsidR="00264F50" w:rsidRDefault="00185288"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Pr>
          <w:noProof w:val="0"/>
          <w:lang w:val="en-US"/>
        </w:rPr>
        <w:t xml:space="preserve"> DA: Bulk density (g/</w:t>
      </w:r>
      <w:r w:rsidRPr="00BD1130">
        <w:rPr>
          <w:noProof w:val="0"/>
          <w:lang w:val="en-US"/>
        </w:rPr>
        <w:t xml:space="preserve"> </w:t>
      </w:r>
      <m:oMath>
        <m:sSup>
          <m:sSupPr>
            <m:ctrlPr>
              <w:rPr>
                <w:rFonts w:ascii="Cambria Math" w:hAnsi="Cambria Math"/>
                <w:i/>
                <w:noProof w:val="0"/>
                <w:lang w:val="en-US"/>
              </w:rPr>
            </m:ctrlPr>
          </m:sSupPr>
          <m:e>
            <m:r>
              <w:rPr>
                <w:rFonts w:ascii="Cambria Math" w:hAnsi="Cambria Math"/>
                <w:noProof w:val="0"/>
                <w:lang w:val="en-US"/>
              </w:rPr>
              <m:t>cm</m:t>
            </m:r>
          </m:e>
          <m:sup>
            <m:r>
              <w:rPr>
                <w:rFonts w:ascii="Cambria Math" w:hAnsi="Cambria Math"/>
                <w:noProof w:val="0"/>
                <w:lang w:val="en-US"/>
              </w:rPr>
              <m:t>3</m:t>
            </m:r>
          </m:sup>
        </m:sSup>
      </m:oMath>
      <w:r>
        <w:rPr>
          <w:noProof w:val="0"/>
          <w:lang w:val="en-US"/>
        </w:rPr>
        <w:t xml:space="preserve">) </w:t>
      </w:r>
    </w:p>
    <w:p w14:paraId="48108E8B" w14:textId="62EDA66E" w:rsidR="00185288" w:rsidRDefault="00185288"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Pr>
          <w:noProof w:val="0"/>
          <w:lang w:val="en-US"/>
        </w:rPr>
        <w:t>P: Soil depth (cm)</w:t>
      </w:r>
    </w:p>
    <w:p w14:paraId="13F33C0D" w14:textId="77777777" w:rsidR="00FF0D1E" w:rsidRDefault="00FF0D1E"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p>
    <w:p w14:paraId="72EFCAFF" w14:textId="60F78D43" w:rsidR="00C43E3F" w:rsidRDefault="00C43E3F"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sidRPr="00C43E3F">
        <w:rPr>
          <w:noProof w:val="0"/>
          <w:lang w:val="en-US"/>
        </w:rPr>
        <w:t>Calculations for obtaining carbon stored in leaf litter and roots: The formula proposed by ICRAF was used.</w:t>
      </w:r>
    </w:p>
    <w:p w14:paraId="6A748353" w14:textId="77777777" w:rsidR="002214C5" w:rsidRDefault="002214C5"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p>
    <w:p w14:paraId="10160C26" w14:textId="536C218E" w:rsidR="002214C5" w:rsidRPr="00986FDF" w:rsidRDefault="002214C5"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noProof w:val="0"/>
          <w:lang w:val="en-US"/>
        </w:rPr>
      </w:pPr>
      <w:r w:rsidRPr="00986FDF">
        <w:rPr>
          <w:b/>
          <w:bCs/>
          <w:noProof w:val="0"/>
          <w:lang w:val="en-US"/>
        </w:rPr>
        <w:t>To establish carbon deposited in the leaf litter</w:t>
      </w:r>
    </w:p>
    <w:p w14:paraId="082089B8" w14:textId="77777777" w:rsidR="00B84A0B" w:rsidRDefault="00B84A0B"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p>
    <w:p w14:paraId="77BB4CCF" w14:textId="2B9EFAD1" w:rsidR="00986FDF" w:rsidRPr="002E4201" w:rsidRDefault="00B84A0B"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m:oMath>
        <m:r>
          <w:rPr>
            <w:rFonts w:ascii="Cambria Math" w:hAnsi="Cambria Math"/>
          </w:rPr>
          <m:t>B</m:t>
        </m:r>
        <m:r>
          <w:rPr>
            <w:rFonts w:ascii="Cambria Math" w:hAnsi="Cambria Math"/>
            <w:lang w:val="en-US"/>
          </w:rPr>
          <m:t>h</m:t>
        </m:r>
        <m:d>
          <m:dPr>
            <m:ctrlPr>
              <w:rPr>
                <w:rFonts w:ascii="Cambria Math" w:hAnsi="Cambria Math"/>
                <w:i/>
              </w:rPr>
            </m:ctrlPr>
          </m:dPr>
          <m:e>
            <m:f>
              <m:fPr>
                <m:ctrlPr>
                  <w:rPr>
                    <w:rFonts w:ascii="Cambria Math" w:hAnsi="Cambria Math"/>
                    <w:i/>
                  </w:rPr>
                </m:ctrlPr>
              </m:fPr>
              <m:num>
                <m:r>
                  <w:rPr>
                    <w:rFonts w:ascii="Cambria Math" w:hAnsi="Cambria Math"/>
                  </w:rPr>
                  <m:t>t</m:t>
                </m:r>
              </m:num>
              <m:den>
                <m:r>
                  <w:rPr>
                    <w:rFonts w:ascii="Cambria Math" w:hAnsi="Cambria Math"/>
                    <w:lang w:val="en-US"/>
                  </w:rPr>
                  <m:t>h</m:t>
                </m:r>
                <m:r>
                  <w:rPr>
                    <w:rFonts w:ascii="Cambria Math" w:hAnsi="Cambria Math"/>
                  </w:rPr>
                  <m:t>a</m:t>
                </m:r>
              </m:den>
            </m:f>
          </m:e>
        </m:d>
        <m:r>
          <w:rPr>
            <w:rFonts w:ascii="Cambria Math" w:hAnsi="Cambria Math"/>
            <w:lang w:val="en-US"/>
          </w:rPr>
          <m:t>=</m:t>
        </m:r>
        <m:d>
          <m:dPr>
            <m:ctrlPr>
              <w:rPr>
                <w:rFonts w:ascii="Cambria Math" w:hAnsi="Cambria Math"/>
                <w:i/>
              </w:rPr>
            </m:ctrlPr>
          </m:dPr>
          <m:e>
            <m:d>
              <m:dPr>
                <m:ctrlPr>
                  <w:rPr>
                    <w:rFonts w:ascii="Cambria Math" w:hAnsi="Cambria Math"/>
                    <w:i/>
                  </w:rPr>
                </m:ctrlPr>
              </m:dPr>
              <m:e>
                <m:f>
                  <m:fPr>
                    <m:ctrlPr>
                      <w:rPr>
                        <w:rFonts w:ascii="Cambria Math" w:hAnsi="Cambria Math"/>
                        <w:i/>
                      </w:rPr>
                    </m:ctrlPr>
                  </m:fPr>
                  <m:num>
                    <m:r>
                      <w:rPr>
                        <w:rFonts w:ascii="Cambria Math" w:hAnsi="Cambria Math"/>
                      </w:rPr>
                      <m:t>PSM</m:t>
                    </m:r>
                  </m:num>
                  <m:den>
                    <m:r>
                      <w:rPr>
                        <w:rFonts w:ascii="Cambria Math" w:hAnsi="Cambria Math"/>
                      </w:rPr>
                      <m:t>PFM</m:t>
                    </m:r>
                  </m:den>
                </m:f>
              </m:e>
            </m:d>
            <m:r>
              <w:rPr>
                <w:rFonts w:ascii="Cambria Math" w:hAnsi="Cambria Math"/>
              </w:rPr>
              <m:t>XPFT</m:t>
            </m:r>
          </m:e>
        </m:d>
        <m:r>
          <w:rPr>
            <w:rFonts w:ascii="Cambria Math" w:hAnsi="Cambria Math"/>
            <w:lang w:val="en-US"/>
          </w:rPr>
          <m:t>*40</m:t>
        </m:r>
      </m:oMath>
      <w:r w:rsidRPr="002E4201">
        <w:rPr>
          <w:noProof w:val="0"/>
          <w:lang w:val="en-US"/>
        </w:rPr>
        <w:t xml:space="preserve">  </w:t>
      </w:r>
      <w:r w:rsidR="00986FDF" w:rsidRPr="002E4201">
        <w:rPr>
          <w:noProof w:val="0"/>
          <w:lang w:val="en-US"/>
        </w:rPr>
        <w:t xml:space="preserve">                                                                                                                          (2)</w:t>
      </w:r>
    </w:p>
    <w:p w14:paraId="33BD1DE5" w14:textId="77777777" w:rsidR="00264F50" w:rsidRPr="002E4201" w:rsidRDefault="00264F50" w:rsidP="00264F50">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val="en-US"/>
        </w:rPr>
      </w:pPr>
    </w:p>
    <w:p w14:paraId="0127F0FA" w14:textId="79309FB9" w:rsidR="00986FDF" w:rsidRPr="002E4201" w:rsidRDefault="00264F50"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Cs/>
          <w:noProof w:val="0"/>
          <w:lang w:val="en-US"/>
        </w:rPr>
      </w:pPr>
      <w:r w:rsidRPr="002E4201">
        <w:rPr>
          <w:lang w:val="en-US"/>
        </w:rPr>
        <w:t>Where</w:t>
      </w:r>
      <w:r w:rsidRPr="002E4201">
        <w:rPr>
          <w:i/>
          <w:iCs/>
          <w:lang w:val="en-US"/>
        </w:rPr>
        <w:t>:</w:t>
      </w:r>
      <w:r w:rsidRPr="002E4201">
        <w:rPr>
          <w:iCs/>
          <w:noProof w:val="0"/>
          <w:lang w:val="en-US"/>
        </w:rPr>
        <w:t xml:space="preserve">                                                                                                                                                               </w:t>
      </w:r>
    </w:p>
    <w:p w14:paraId="714B9ECE" w14:textId="1B6E8C4A" w:rsidR="00264F50" w:rsidRPr="002E4201" w:rsidRDefault="00986FDF"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proofErr w:type="spellStart"/>
      <w:r w:rsidRPr="002E4201">
        <w:rPr>
          <w:noProof w:val="0"/>
          <w:lang w:val="en-US"/>
        </w:rPr>
        <w:t>Bh</w:t>
      </w:r>
      <w:proofErr w:type="spellEnd"/>
      <w:r w:rsidR="009E342D" w:rsidRPr="002E4201">
        <w:rPr>
          <w:noProof w:val="0"/>
          <w:lang w:val="en-US"/>
        </w:rPr>
        <w:t>= Litter</w:t>
      </w:r>
      <w:r w:rsidRPr="002E4201">
        <w:rPr>
          <w:noProof w:val="0"/>
          <w:lang w:val="en-US"/>
        </w:rPr>
        <w:t xml:space="preserve"> biomass, dry matter </w:t>
      </w:r>
      <w:r w:rsidRPr="002E4201">
        <w:rPr>
          <w:lang w:val="en-US"/>
        </w:rPr>
        <w:t>(t/ha)</w:t>
      </w:r>
      <w:r w:rsidR="00B84A0B" w:rsidRPr="002E4201">
        <w:rPr>
          <w:noProof w:val="0"/>
          <w:lang w:val="en-US"/>
        </w:rPr>
        <w:t xml:space="preserve"> </w:t>
      </w:r>
    </w:p>
    <w:p w14:paraId="5787591F" w14:textId="53F62515" w:rsidR="00264F50" w:rsidRPr="00531931" w:rsidRDefault="00264F50"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sidRPr="00531931">
        <w:rPr>
          <w:noProof w:val="0"/>
          <w:lang w:val="en-US"/>
        </w:rPr>
        <w:t>PSM= Dry weight of the collected sample(Kg)</w:t>
      </w:r>
    </w:p>
    <w:p w14:paraId="17B61383" w14:textId="1749E888" w:rsidR="00264F50" w:rsidRPr="002E4201" w:rsidRDefault="00264F50"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sidRPr="002E4201">
        <w:rPr>
          <w:noProof w:val="0"/>
          <w:lang w:val="en-US"/>
        </w:rPr>
        <w:t>PFM=Fresh weight of the collected sample(Kg)</w:t>
      </w:r>
    </w:p>
    <w:p w14:paraId="6AD6821A" w14:textId="6963EE22" w:rsidR="00264F50" w:rsidRPr="002E4201" w:rsidRDefault="00264F50"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val="en-US"/>
        </w:rPr>
      </w:pPr>
      <w:r w:rsidRPr="002E4201">
        <w:rPr>
          <w:noProof w:val="0"/>
          <w:lang w:val="en-US"/>
        </w:rPr>
        <w:t>PFT = Total fresh weight</w:t>
      </w:r>
      <w:r w:rsidRPr="002E4201">
        <w:rPr>
          <w:lang w:val="en-US"/>
        </w:rPr>
        <w:t>(kg/0.25</w:t>
      </w:r>
      <m:oMath>
        <m:sSup>
          <m:sSupPr>
            <m:ctrlPr>
              <w:rPr>
                <w:rFonts w:ascii="Cambria Math" w:hAnsi="Cambria Math"/>
                <w:i/>
                <w:noProof w:val="0"/>
                <w:lang w:val="en-US"/>
              </w:rPr>
            </m:ctrlPr>
          </m:sSupPr>
          <m:e>
            <m:r>
              <w:rPr>
                <w:rFonts w:ascii="Cambria Math" w:hAnsi="Cambria Math"/>
              </w:rPr>
              <m:t>m</m:t>
            </m:r>
          </m:e>
          <m:sup>
            <m:r>
              <w:rPr>
                <w:rFonts w:ascii="Cambria Math" w:hAnsi="Cambria Math"/>
                <w:lang w:val="en-US"/>
              </w:rPr>
              <m:t>2</m:t>
            </m:r>
          </m:sup>
        </m:sSup>
      </m:oMath>
      <w:r w:rsidRPr="002E4201">
        <w:rPr>
          <w:lang w:val="en-US"/>
        </w:rPr>
        <w:t>)</w:t>
      </w:r>
    </w:p>
    <w:p w14:paraId="17CE6FD1" w14:textId="7846970A" w:rsidR="00264F50" w:rsidRDefault="00264F50" w:rsidP="00264F50">
      <w:pPr>
        <w:pStyle w:val="CETBodytext"/>
      </w:pPr>
      <w:r>
        <w:t xml:space="preserve">Factor 40: </w:t>
      </w:r>
      <w:proofErr w:type="spellStart"/>
      <w:r>
        <w:t>Conversión</w:t>
      </w:r>
      <w:proofErr w:type="spellEnd"/>
      <w:r>
        <w:t xml:space="preserve"> of units to t/ha</w:t>
      </w:r>
    </w:p>
    <w:p w14:paraId="7EF4A9B0" w14:textId="77777777" w:rsidR="00264F50" w:rsidRPr="002E4201" w:rsidRDefault="00264F50"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p>
    <w:p w14:paraId="108FDD4F" w14:textId="52518690" w:rsidR="00B84A0B" w:rsidRPr="002E4201" w:rsidRDefault="00B84A0B"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sidRPr="002E4201">
        <w:rPr>
          <w:noProof w:val="0"/>
          <w:lang w:val="en-US"/>
        </w:rPr>
        <w:t xml:space="preserve">                                                                                                                     </w:t>
      </w:r>
    </w:p>
    <w:p w14:paraId="6AC00083" w14:textId="77777777" w:rsidR="00B84A0B" w:rsidRPr="002E4201" w:rsidRDefault="00B84A0B"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p>
    <w:p w14:paraId="652CB705" w14:textId="018F6B18" w:rsidR="00986FDF" w:rsidRPr="002E4201" w:rsidRDefault="00B84A0B"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m:oMath>
        <m:r>
          <w:rPr>
            <w:rFonts w:ascii="Cambria Math" w:hAnsi="Cambria Math"/>
          </w:rPr>
          <m:t>CH</m:t>
        </m:r>
        <m:r>
          <w:rPr>
            <w:rFonts w:ascii="Cambria Math" w:hAnsi="Cambria Math"/>
            <w:lang w:val="en-US"/>
          </w:rPr>
          <m:t>=</m:t>
        </m:r>
        <m:r>
          <w:rPr>
            <w:rFonts w:ascii="Cambria Math" w:hAnsi="Cambria Math"/>
          </w:rPr>
          <m:t>Biomasa</m:t>
        </m:r>
        <m:f>
          <m:fPr>
            <m:ctrlPr>
              <w:rPr>
                <w:rFonts w:ascii="Cambria Math" w:hAnsi="Cambria Math"/>
                <w:i/>
                <w:noProof w:val="0"/>
                <w:lang w:val="en-US"/>
              </w:rPr>
            </m:ctrlPr>
          </m:fPr>
          <m:num>
            <m:r>
              <w:rPr>
                <w:rFonts w:ascii="Cambria Math" w:hAnsi="Cambria Math"/>
              </w:rPr>
              <m:t>t</m:t>
            </m:r>
          </m:num>
          <m:den>
            <m:r>
              <w:rPr>
                <w:rFonts w:ascii="Cambria Math" w:hAnsi="Cambria Math"/>
                <w:lang w:val="en-US"/>
              </w:rPr>
              <m:t>h</m:t>
            </m:r>
            <m:r>
              <w:rPr>
                <w:rFonts w:ascii="Cambria Math" w:hAnsi="Cambria Math"/>
              </w:rPr>
              <m:t>a</m:t>
            </m:r>
          </m:den>
        </m:f>
        <m:r>
          <w:rPr>
            <w:rFonts w:ascii="Cambria Math" w:hAnsi="Cambria Math"/>
          </w:rPr>
          <m:t>x</m:t>
        </m:r>
        <m:r>
          <w:rPr>
            <w:rFonts w:ascii="Cambria Math" w:hAnsi="Cambria Math"/>
            <w:lang w:val="en-US"/>
          </w:rPr>
          <m:t>0.50</m:t>
        </m:r>
      </m:oMath>
      <w:r w:rsidRPr="002E4201">
        <w:rPr>
          <w:noProof w:val="0"/>
          <w:lang w:val="en-US"/>
        </w:rPr>
        <w:t xml:space="preserve">  </w:t>
      </w:r>
      <w:r w:rsidR="00986FDF" w:rsidRPr="002E4201">
        <w:rPr>
          <w:noProof w:val="0"/>
          <w:lang w:val="en-US"/>
        </w:rPr>
        <w:t xml:space="preserve">                                                                                                                                      (3)</w:t>
      </w:r>
      <w:r w:rsidRPr="002E4201">
        <w:rPr>
          <w:noProof w:val="0"/>
          <w:lang w:val="en-US"/>
        </w:rPr>
        <w:t xml:space="preserve"> </w:t>
      </w:r>
    </w:p>
    <w:p w14:paraId="620C176E" w14:textId="77777777" w:rsidR="00264F50" w:rsidRPr="002E4201" w:rsidRDefault="00264F50"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val="en-US"/>
        </w:rPr>
      </w:pPr>
    </w:p>
    <w:p w14:paraId="489BF926" w14:textId="7CFF1D18" w:rsidR="00264F50" w:rsidRPr="002E4201" w:rsidRDefault="00264F50"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Cs/>
          <w:noProof w:val="0"/>
          <w:lang w:val="en-US"/>
        </w:rPr>
      </w:pPr>
      <w:r w:rsidRPr="002E4201">
        <w:rPr>
          <w:lang w:val="en-US"/>
        </w:rPr>
        <w:t>Where</w:t>
      </w:r>
      <w:r w:rsidRPr="002E4201">
        <w:rPr>
          <w:i/>
          <w:iCs/>
          <w:lang w:val="en-US"/>
        </w:rPr>
        <w:t>:</w:t>
      </w:r>
      <w:r w:rsidRPr="002E4201">
        <w:rPr>
          <w:iCs/>
          <w:noProof w:val="0"/>
          <w:lang w:val="en-US"/>
        </w:rPr>
        <w:t xml:space="preserve">                                                                                                                                                               </w:t>
      </w:r>
    </w:p>
    <w:p w14:paraId="03A9C89F" w14:textId="77777777" w:rsidR="00264F50" w:rsidRPr="002E4201" w:rsidRDefault="00986FDF"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sidRPr="002E4201">
        <w:rPr>
          <w:noProof w:val="0"/>
          <w:lang w:val="en-US"/>
        </w:rPr>
        <w:t>CH=</w:t>
      </w:r>
      <w:r w:rsidR="00B84A0B" w:rsidRPr="002E4201">
        <w:rPr>
          <w:noProof w:val="0"/>
          <w:lang w:val="en-US"/>
        </w:rPr>
        <w:t xml:space="preserve"> </w:t>
      </w:r>
      <w:r w:rsidRPr="002E4201">
        <w:rPr>
          <w:noProof w:val="0"/>
          <w:lang w:val="en-US"/>
        </w:rPr>
        <w:t>Carbon in leaf</w:t>
      </w:r>
      <w:r w:rsidR="00B84A0B" w:rsidRPr="002E4201">
        <w:rPr>
          <w:noProof w:val="0"/>
          <w:lang w:val="en-US"/>
        </w:rPr>
        <w:t xml:space="preserve"> </w:t>
      </w:r>
      <w:r w:rsidRPr="002E4201">
        <w:rPr>
          <w:noProof w:val="0"/>
          <w:lang w:val="en-US"/>
        </w:rPr>
        <w:t>litter</w:t>
      </w:r>
    </w:p>
    <w:p w14:paraId="599874DF" w14:textId="0C7BC7B9" w:rsidR="00B84A0B" w:rsidRPr="00736528" w:rsidRDefault="00986FDF"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sidRPr="00736528">
        <w:rPr>
          <w:noProof w:val="0"/>
          <w:lang w:val="en-US"/>
        </w:rPr>
        <w:t>0.50: Value proposed by IPCC</w:t>
      </w:r>
      <w:r w:rsidR="00B84A0B" w:rsidRPr="00736528">
        <w:rPr>
          <w:noProof w:val="0"/>
          <w:lang w:val="en-US"/>
        </w:rPr>
        <w:t xml:space="preserve">                                                                                                                                    </w:t>
      </w:r>
    </w:p>
    <w:p w14:paraId="33011ABB" w14:textId="77777777" w:rsidR="00B84A0B" w:rsidRPr="00736528" w:rsidRDefault="00B84A0B"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p>
    <w:p w14:paraId="4B697365" w14:textId="09880715" w:rsidR="00B84A0B" w:rsidRPr="00531931" w:rsidRDefault="002214C5"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noProof w:val="0"/>
          <w:lang w:val="en-US"/>
        </w:rPr>
      </w:pPr>
      <w:r w:rsidRPr="00531931">
        <w:rPr>
          <w:b/>
          <w:bCs/>
          <w:noProof w:val="0"/>
          <w:lang w:val="en-US"/>
        </w:rPr>
        <w:t>To establish Carbon deposited  in roots</w:t>
      </w:r>
    </w:p>
    <w:p w14:paraId="3C2575DB" w14:textId="77777777" w:rsidR="00B84A0B" w:rsidRPr="00531931" w:rsidRDefault="00B84A0B"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p>
    <w:p w14:paraId="123CCD76" w14:textId="5337E8A1" w:rsidR="00264F50" w:rsidRPr="002E4201" w:rsidRDefault="00B84A0B"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Cs/>
          <w:noProof w:val="0"/>
          <w:lang w:val="en-US"/>
        </w:rPr>
      </w:pPr>
      <m:oMath>
        <m:r>
          <w:rPr>
            <w:rFonts w:ascii="Cambria Math" w:hAnsi="Cambria Math"/>
          </w:rPr>
          <m:t>CR</m:t>
        </m:r>
        <m:r>
          <w:rPr>
            <w:rFonts w:ascii="Cambria Math" w:hAnsi="Cambria Math"/>
            <w:lang w:val="en-US"/>
          </w:rPr>
          <m:t>=</m:t>
        </m:r>
        <m:d>
          <m:dPr>
            <m:ctrlPr>
              <w:rPr>
                <w:rFonts w:ascii="Cambria Math" w:hAnsi="Cambria Math"/>
                <w:i/>
              </w:rPr>
            </m:ctrlPr>
          </m:dPr>
          <m:e>
            <m:r>
              <w:rPr>
                <w:rFonts w:ascii="Cambria Math" w:hAnsi="Cambria Math"/>
              </w:rPr>
              <m:t>Biomasa</m:t>
            </m:r>
            <m:r>
              <w:rPr>
                <w:rFonts w:ascii="Cambria Math" w:hAnsi="Cambria Math"/>
                <w:lang w:val="en-US"/>
              </w:rPr>
              <m:t>.1.25</m:t>
            </m:r>
          </m:e>
        </m:d>
        <m:r>
          <w:rPr>
            <w:rFonts w:ascii="Cambria Math" w:hAnsi="Cambria Math"/>
            <w:lang w:val="en-US"/>
          </w:rPr>
          <m:t>0.</m:t>
        </m:r>
        <m:r>
          <m:rPr>
            <m:sty m:val="p"/>
          </m:rPr>
          <w:rPr>
            <w:rFonts w:ascii="Cambria Math" w:hAnsi="Cambria Math"/>
            <w:lang w:val="en-US"/>
          </w:rPr>
          <m:t>5</m:t>
        </m:r>
      </m:oMath>
      <w:r w:rsidRPr="002E4201">
        <w:rPr>
          <w:iCs/>
          <w:noProof w:val="0"/>
          <w:lang w:val="en-US"/>
        </w:rPr>
        <w:t xml:space="preserve">  </w:t>
      </w:r>
      <w:r w:rsidR="00264F50" w:rsidRPr="002E4201">
        <w:rPr>
          <w:iCs/>
          <w:noProof w:val="0"/>
          <w:lang w:val="en-US"/>
        </w:rPr>
        <w:t xml:space="preserve">                                                                                                                                 (4)</w:t>
      </w:r>
    </w:p>
    <w:p w14:paraId="6B32F581" w14:textId="22E45A28" w:rsidR="00B84A0B" w:rsidRPr="002E4201" w:rsidRDefault="00264F50"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Cs/>
          <w:noProof w:val="0"/>
          <w:lang w:val="en-US"/>
        </w:rPr>
      </w:pPr>
      <w:r w:rsidRPr="002E4201">
        <w:rPr>
          <w:lang w:val="en-US"/>
        </w:rPr>
        <w:t>Where</w:t>
      </w:r>
      <w:r w:rsidRPr="002E4201">
        <w:rPr>
          <w:i/>
          <w:iCs/>
          <w:lang w:val="en-US"/>
        </w:rPr>
        <w:t>:</w:t>
      </w:r>
      <w:r w:rsidR="00B84A0B" w:rsidRPr="002E4201">
        <w:rPr>
          <w:iCs/>
          <w:noProof w:val="0"/>
          <w:lang w:val="en-US"/>
        </w:rPr>
        <w:t xml:space="preserve">                                                                                                                                 </w:t>
      </w:r>
      <w:r w:rsidRPr="002E4201">
        <w:rPr>
          <w:iCs/>
          <w:noProof w:val="0"/>
          <w:lang w:val="en-US"/>
        </w:rPr>
        <w:t xml:space="preserve">                            </w:t>
      </w:r>
      <w:r w:rsidR="00B84A0B" w:rsidRPr="002E4201">
        <w:rPr>
          <w:iCs/>
          <w:noProof w:val="0"/>
          <w:lang w:val="en-US"/>
        </w:rPr>
        <w:t xml:space="preserve">  </w:t>
      </w:r>
    </w:p>
    <w:p w14:paraId="2385921C" w14:textId="77777777" w:rsidR="00264F50" w:rsidRPr="002E4201" w:rsidRDefault="002214C5"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sidRPr="002E4201">
        <w:rPr>
          <w:noProof w:val="0"/>
          <w:lang w:val="en-US"/>
        </w:rPr>
        <w:t>CR= Root carbon</w:t>
      </w:r>
    </w:p>
    <w:p w14:paraId="32264266" w14:textId="77777777" w:rsidR="00264F50" w:rsidRPr="002E4201" w:rsidRDefault="002214C5"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sidRPr="002E4201">
        <w:rPr>
          <w:noProof w:val="0"/>
          <w:lang w:val="en-US"/>
        </w:rPr>
        <w:t xml:space="preserve">1.25: Correction factor for root </w:t>
      </w:r>
      <w:proofErr w:type="spellStart"/>
      <w:r w:rsidRPr="002E4201">
        <w:rPr>
          <w:noProof w:val="0"/>
          <w:lang w:val="en-US"/>
        </w:rPr>
        <w:t>volumen</w:t>
      </w:r>
      <w:proofErr w:type="spellEnd"/>
    </w:p>
    <w:p w14:paraId="0177E48B" w14:textId="2D2CFE58" w:rsidR="002214C5" w:rsidRPr="002E4201" w:rsidRDefault="002214C5"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sidRPr="002E4201">
        <w:rPr>
          <w:noProof w:val="0"/>
          <w:lang w:val="en-US"/>
        </w:rPr>
        <w:t xml:space="preserve"> 0.50: Value proposed by the IPCC</w:t>
      </w:r>
    </w:p>
    <w:p w14:paraId="6470CEFF" w14:textId="77777777" w:rsidR="00B84A0B" w:rsidRPr="00B84A0B" w:rsidRDefault="00B84A0B" w:rsidP="00FF0D1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p>
    <w:p w14:paraId="2F45A953" w14:textId="77777777" w:rsidR="00370271" w:rsidRDefault="00370271" w:rsidP="008C4837">
      <w:pPr>
        <w:pStyle w:val="CETBodytext"/>
      </w:pPr>
    </w:p>
    <w:p w14:paraId="015C7CE1" w14:textId="3A83B078" w:rsidR="00C92D6C" w:rsidRPr="00C92D6C" w:rsidRDefault="00C43E3F" w:rsidP="00C92D6C">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sidRPr="00C43E3F">
        <w:rPr>
          <w:noProof w:val="0"/>
          <w:lang w:val="en-US"/>
        </w:rPr>
        <w:t xml:space="preserve">Estimation of the economic value of the Environmental Service: The information presented by climate researchers Brent </w:t>
      </w:r>
      <w:proofErr w:type="spellStart"/>
      <w:r w:rsidRPr="00C43E3F">
        <w:rPr>
          <w:noProof w:val="0"/>
          <w:lang w:val="en-US"/>
        </w:rPr>
        <w:t>Sohngen</w:t>
      </w:r>
      <w:proofErr w:type="spellEnd"/>
      <w:r w:rsidRPr="00C43E3F">
        <w:rPr>
          <w:noProof w:val="0"/>
          <w:lang w:val="en-US"/>
        </w:rPr>
        <w:t xml:space="preserve"> and Robert H. was taken as a reference, who indicate that $27.25 is a fair price</w:t>
      </w:r>
      <w:r w:rsidR="00FF0D1E">
        <w:rPr>
          <w:noProof w:val="0"/>
          <w:lang w:val="en-US"/>
        </w:rPr>
        <w:t xml:space="preserve">  </w:t>
      </w:r>
      <w:r w:rsidRPr="00C43E3F">
        <w:rPr>
          <w:noProof w:val="0"/>
          <w:lang w:val="en-US"/>
        </w:rPr>
        <w:t xml:space="preserve">value </w:t>
      </w:r>
      <w:proofErr w:type="gramStart"/>
      <w:r w:rsidRPr="00C43E3F">
        <w:rPr>
          <w:noProof w:val="0"/>
          <w:lang w:val="en-US"/>
        </w:rPr>
        <w:t>an</w:t>
      </w:r>
      <w:proofErr w:type="gramEnd"/>
      <w:r w:rsidRPr="00C43E3F">
        <w:rPr>
          <w:noProof w:val="0"/>
          <w:lang w:val="en-US"/>
        </w:rPr>
        <w:t xml:space="preserve"> ecosystem service worldwide, multiplied by the fixed ton of carbon obtained</w:t>
      </w:r>
      <w:r w:rsidRPr="00C92D6C">
        <w:rPr>
          <w:noProof w:val="0"/>
          <w:lang w:val="en-US"/>
        </w:rPr>
        <w:t>.</w:t>
      </w:r>
    </w:p>
    <w:p w14:paraId="3CFE916F" w14:textId="77777777" w:rsidR="00C92D6C" w:rsidRDefault="00C92D6C" w:rsidP="00C92D6C">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p>
    <w:p w14:paraId="2FC2F036" w14:textId="631BCFC5" w:rsidR="00C92D6C" w:rsidRPr="00C92D6C" w:rsidRDefault="00C92D6C" w:rsidP="00C92D6C">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sidRPr="00C92D6C">
        <w:rPr>
          <w:noProof w:val="0"/>
          <w:lang w:val="en-US"/>
        </w:rPr>
        <w:t>This procedure was performed for both cultivation areas. Validation was carried out at the Laboratory of the National Agrarian University of the Jungle and the Analytical Services Laboratory.</w:t>
      </w:r>
    </w:p>
    <w:p w14:paraId="62128BCC" w14:textId="6B69617F" w:rsidR="004E3644" w:rsidRPr="004E3644" w:rsidRDefault="004E3644" w:rsidP="004E3644">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noProof w:val="0"/>
          <w:lang w:val="en-GB"/>
        </w:rPr>
      </w:pPr>
    </w:p>
    <w:p w14:paraId="2C6FBE74" w14:textId="3744920D" w:rsidR="004E3644" w:rsidRPr="006B0687" w:rsidRDefault="004E3644" w:rsidP="004E3644">
      <w:pPr>
        <w:pStyle w:val="HTMLconformatoprevio"/>
        <w:shd w:val="clear" w:color="auto" w:fill="F8F9FA"/>
        <w:spacing w:line="540" w:lineRule="atLeast"/>
        <w:rPr>
          <w:rFonts w:ascii="Arial" w:hAnsi="Arial" w:cs="Times New Roman"/>
          <w:b/>
          <w:noProof w:val="0"/>
          <w:lang w:val="en-US"/>
        </w:rPr>
      </w:pPr>
      <w:r w:rsidRPr="006B0687">
        <w:rPr>
          <w:rFonts w:ascii="Arial" w:hAnsi="Arial" w:cs="Times New Roman"/>
          <w:b/>
          <w:noProof w:val="0"/>
          <w:lang w:val="en-US"/>
        </w:rPr>
        <w:t>Results and Discussion</w:t>
      </w:r>
    </w:p>
    <w:p w14:paraId="209806AD" w14:textId="77777777" w:rsidR="00EC1780" w:rsidRDefault="00EC1780" w:rsidP="00EC1780">
      <w:pPr>
        <w:pStyle w:val="CETBodytext"/>
      </w:pPr>
    </w:p>
    <w:p w14:paraId="40555BC9" w14:textId="3E9B7F88" w:rsidR="00EF7A08" w:rsidRDefault="00EF7A08" w:rsidP="007B296E">
      <w:pPr>
        <w:pStyle w:val="CETTabletitle"/>
      </w:pPr>
      <w:r w:rsidRPr="00B57B36">
        <w:t xml:space="preserve">Table 1: </w:t>
      </w:r>
      <w:r w:rsidR="004E3644">
        <w:t xml:space="preserve">Organic carbon capture capacity(g) in the crop-Bolognesi and </w:t>
      </w:r>
      <w:r w:rsidR="007E59A0">
        <w:t>the</w:t>
      </w:r>
      <w:r w:rsidR="004E3644">
        <w:t xml:space="preserve"> Divisoria</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701"/>
        <w:gridCol w:w="1559"/>
        <w:gridCol w:w="1134"/>
        <w:gridCol w:w="1134"/>
        <w:gridCol w:w="1134"/>
      </w:tblGrid>
      <w:tr w:rsidR="00020BE2" w:rsidRPr="00B57B36" w14:paraId="6F587417" w14:textId="77777777" w:rsidTr="00D23985">
        <w:tc>
          <w:tcPr>
            <w:tcW w:w="1701" w:type="dxa"/>
            <w:tcBorders>
              <w:top w:val="single" w:sz="12" w:space="0" w:color="008000"/>
              <w:bottom w:val="single" w:sz="6" w:space="0" w:color="008000"/>
            </w:tcBorders>
            <w:shd w:val="clear" w:color="auto" w:fill="FFFFFF"/>
          </w:tcPr>
          <w:p w14:paraId="4640EEE7" w14:textId="1B2B1743" w:rsidR="00020BE2" w:rsidRPr="00B57B36" w:rsidRDefault="00020BE2" w:rsidP="00083C01">
            <w:pPr>
              <w:pStyle w:val="CETBodytext"/>
              <w:rPr>
                <w:lang w:val="en-GB"/>
              </w:rPr>
            </w:pPr>
            <w:bookmarkStart w:id="2" w:name="_Hlk225399658"/>
            <w:r>
              <w:rPr>
                <w:lang w:val="en-GB"/>
              </w:rPr>
              <w:t>Sample Location</w:t>
            </w:r>
            <w:r w:rsidRPr="00B57B36">
              <w:rPr>
                <w:lang w:val="en-GB"/>
              </w:rPr>
              <w:t xml:space="preserve"> </w:t>
            </w:r>
          </w:p>
        </w:tc>
        <w:tc>
          <w:tcPr>
            <w:tcW w:w="1559" w:type="dxa"/>
            <w:tcBorders>
              <w:top w:val="single" w:sz="12" w:space="0" w:color="008000"/>
              <w:bottom w:val="single" w:sz="6" w:space="0" w:color="008000"/>
            </w:tcBorders>
            <w:shd w:val="clear" w:color="auto" w:fill="FFFFFF"/>
          </w:tcPr>
          <w:p w14:paraId="4419EF2E" w14:textId="00801484" w:rsidR="00020BE2" w:rsidRPr="00B57B36" w:rsidRDefault="007B296E" w:rsidP="00083C01">
            <w:pPr>
              <w:pStyle w:val="CETBodytext"/>
              <w:rPr>
                <w:lang w:val="en-GB"/>
              </w:rPr>
            </w:pPr>
            <w:r>
              <w:rPr>
                <w:lang w:val="en-GB"/>
              </w:rPr>
              <w:t>Descriptive Results</w:t>
            </w:r>
          </w:p>
        </w:tc>
        <w:tc>
          <w:tcPr>
            <w:tcW w:w="1134" w:type="dxa"/>
            <w:tcBorders>
              <w:top w:val="single" w:sz="12" w:space="0" w:color="008000"/>
              <w:bottom w:val="single" w:sz="6" w:space="0" w:color="008000"/>
            </w:tcBorders>
            <w:shd w:val="clear" w:color="auto" w:fill="FFFFFF"/>
          </w:tcPr>
          <w:p w14:paraId="79CB7CEB" w14:textId="321B3AFC" w:rsidR="007B296E" w:rsidRDefault="007B296E" w:rsidP="007B296E">
            <w:pPr>
              <w:pStyle w:val="CETBodytext"/>
              <w:rPr>
                <w:lang w:val="en-GB"/>
              </w:rPr>
            </w:pPr>
            <w:r>
              <w:rPr>
                <w:lang w:val="en-GB"/>
              </w:rPr>
              <w:t xml:space="preserve">   Statistical </w:t>
            </w:r>
          </w:p>
          <w:p w14:paraId="31F99AB1" w14:textId="4FCCAB11" w:rsidR="00020BE2" w:rsidRPr="00B57B36" w:rsidRDefault="00020BE2" w:rsidP="00083C01">
            <w:pPr>
              <w:pStyle w:val="CETBodytext"/>
              <w:rPr>
                <w:lang w:val="en-GB"/>
              </w:rPr>
            </w:pPr>
          </w:p>
        </w:tc>
        <w:tc>
          <w:tcPr>
            <w:tcW w:w="1134" w:type="dxa"/>
            <w:tcBorders>
              <w:top w:val="single" w:sz="12" w:space="0" w:color="008000"/>
              <w:bottom w:val="single" w:sz="6" w:space="0" w:color="008000"/>
            </w:tcBorders>
            <w:shd w:val="clear" w:color="auto" w:fill="FFFFFF"/>
          </w:tcPr>
          <w:p w14:paraId="4FB0501E" w14:textId="77777777" w:rsidR="00020BE2" w:rsidRPr="00B57B36" w:rsidRDefault="00020BE2" w:rsidP="00083C01">
            <w:pPr>
              <w:pStyle w:val="CETBodytext"/>
              <w:ind w:right="-1"/>
              <w:rPr>
                <w:rFonts w:cs="Arial"/>
                <w:szCs w:val="18"/>
                <w:lang w:val="en-GB"/>
              </w:rPr>
            </w:pPr>
          </w:p>
        </w:tc>
        <w:tc>
          <w:tcPr>
            <w:tcW w:w="1134" w:type="dxa"/>
            <w:tcBorders>
              <w:top w:val="single" w:sz="12" w:space="0" w:color="008000"/>
              <w:bottom w:val="single" w:sz="6" w:space="0" w:color="008000"/>
            </w:tcBorders>
            <w:shd w:val="clear" w:color="auto" w:fill="FFFFFF"/>
          </w:tcPr>
          <w:p w14:paraId="39FE643E" w14:textId="77777777" w:rsidR="00020BE2" w:rsidRPr="00B57B36" w:rsidRDefault="00020BE2" w:rsidP="00083C01">
            <w:pPr>
              <w:pStyle w:val="CETBodytext"/>
              <w:ind w:right="-1"/>
              <w:rPr>
                <w:rFonts w:cs="Arial"/>
                <w:szCs w:val="18"/>
                <w:lang w:val="en-GB"/>
              </w:rPr>
            </w:pPr>
          </w:p>
        </w:tc>
      </w:tr>
      <w:tr w:rsidR="00020BE2" w:rsidRPr="00B57B36" w14:paraId="309847C4" w14:textId="77777777" w:rsidTr="00D23985">
        <w:tc>
          <w:tcPr>
            <w:tcW w:w="1701" w:type="dxa"/>
            <w:shd w:val="clear" w:color="auto" w:fill="FFFFFF"/>
          </w:tcPr>
          <w:p w14:paraId="0C2B0307" w14:textId="77777777" w:rsidR="00020BE2" w:rsidRDefault="007B296E" w:rsidP="00083C01">
            <w:pPr>
              <w:pStyle w:val="CETBodytext"/>
              <w:rPr>
                <w:lang w:val="en-GB"/>
              </w:rPr>
            </w:pPr>
            <w:r>
              <w:rPr>
                <w:lang w:val="en-GB"/>
              </w:rPr>
              <w:t>Bolognesi</w:t>
            </w:r>
          </w:p>
          <w:p w14:paraId="067FE15F" w14:textId="77777777" w:rsidR="007B296E" w:rsidRDefault="007B296E" w:rsidP="00083C01">
            <w:pPr>
              <w:pStyle w:val="CETBodytext"/>
              <w:rPr>
                <w:lang w:val="en-GB"/>
              </w:rPr>
            </w:pPr>
          </w:p>
          <w:p w14:paraId="548A4823" w14:textId="77777777" w:rsidR="007B296E" w:rsidRDefault="007B296E" w:rsidP="00083C01">
            <w:pPr>
              <w:pStyle w:val="CETBodytext"/>
              <w:rPr>
                <w:lang w:val="en-GB"/>
              </w:rPr>
            </w:pPr>
          </w:p>
          <w:p w14:paraId="4E83EA54" w14:textId="77777777" w:rsidR="007B296E" w:rsidRDefault="007B296E" w:rsidP="00083C01">
            <w:pPr>
              <w:pStyle w:val="CETBodytext"/>
              <w:rPr>
                <w:lang w:val="en-GB"/>
              </w:rPr>
            </w:pPr>
          </w:p>
          <w:p w14:paraId="3B4AD2DB" w14:textId="77777777" w:rsidR="007B296E" w:rsidRDefault="007B296E" w:rsidP="00083C01">
            <w:pPr>
              <w:pStyle w:val="CETBodytext"/>
              <w:rPr>
                <w:lang w:val="en-GB"/>
              </w:rPr>
            </w:pPr>
          </w:p>
          <w:p w14:paraId="2F6A80D4" w14:textId="6A74BEFC" w:rsidR="007B296E" w:rsidRPr="00B57B36" w:rsidRDefault="007F7250" w:rsidP="00083C01">
            <w:pPr>
              <w:pStyle w:val="CETBodytext"/>
              <w:rPr>
                <w:lang w:val="en-GB"/>
              </w:rPr>
            </w:pPr>
            <w:r>
              <w:rPr>
                <w:lang w:val="en-GB"/>
              </w:rPr>
              <w:t>The</w:t>
            </w:r>
            <w:r w:rsidR="007B296E">
              <w:rPr>
                <w:lang w:val="en-GB"/>
              </w:rPr>
              <w:t xml:space="preserve"> Divisoria </w:t>
            </w:r>
          </w:p>
        </w:tc>
        <w:tc>
          <w:tcPr>
            <w:tcW w:w="1559" w:type="dxa"/>
            <w:shd w:val="clear" w:color="auto" w:fill="FFFFFF"/>
          </w:tcPr>
          <w:p w14:paraId="4398EB79" w14:textId="564E50BE" w:rsidR="007B296E" w:rsidRDefault="007B296E" w:rsidP="007B296E">
            <w:pPr>
              <w:pStyle w:val="CETBodytext"/>
              <w:rPr>
                <w:lang w:val="en-GB"/>
              </w:rPr>
            </w:pPr>
            <w:r>
              <w:rPr>
                <w:lang w:val="en-GB"/>
              </w:rPr>
              <w:t xml:space="preserve">Median                               Standard deviation                                    </w:t>
            </w:r>
            <w:proofErr w:type="spellStart"/>
            <w:r>
              <w:rPr>
                <w:lang w:val="en-GB"/>
              </w:rPr>
              <w:t>Mínimum</w:t>
            </w:r>
            <w:proofErr w:type="spellEnd"/>
            <w:r>
              <w:rPr>
                <w:lang w:val="en-GB"/>
              </w:rPr>
              <w:t xml:space="preserve">                                 </w:t>
            </w:r>
            <w:proofErr w:type="spellStart"/>
            <w:r>
              <w:rPr>
                <w:lang w:val="en-GB"/>
              </w:rPr>
              <w:t>Máximum</w:t>
            </w:r>
            <w:proofErr w:type="spellEnd"/>
          </w:p>
          <w:p w14:paraId="2FAFA03F" w14:textId="77777777" w:rsidR="007B296E" w:rsidRDefault="007B296E" w:rsidP="007B296E">
            <w:pPr>
              <w:pStyle w:val="CETBodytext"/>
              <w:rPr>
                <w:lang w:val="en-GB"/>
              </w:rPr>
            </w:pPr>
          </w:p>
          <w:p w14:paraId="23DD2334" w14:textId="0C2A57BE" w:rsidR="00020BE2" w:rsidRPr="00B57B36" w:rsidRDefault="007B296E" w:rsidP="00083C01">
            <w:pPr>
              <w:pStyle w:val="CETBodytext"/>
              <w:rPr>
                <w:lang w:val="en-GB"/>
              </w:rPr>
            </w:pPr>
            <w:r>
              <w:rPr>
                <w:lang w:val="en-GB"/>
              </w:rPr>
              <w:t xml:space="preserve">Median                               Standard deviation                                  </w:t>
            </w:r>
            <w:proofErr w:type="spellStart"/>
            <w:r>
              <w:rPr>
                <w:lang w:val="en-GB"/>
              </w:rPr>
              <w:t>Mínimum</w:t>
            </w:r>
            <w:proofErr w:type="spellEnd"/>
            <w:r>
              <w:rPr>
                <w:lang w:val="en-GB"/>
              </w:rPr>
              <w:t xml:space="preserve">                                 </w:t>
            </w:r>
            <w:proofErr w:type="spellStart"/>
            <w:r>
              <w:rPr>
                <w:lang w:val="en-GB"/>
              </w:rPr>
              <w:t>Máximum</w:t>
            </w:r>
            <w:proofErr w:type="spellEnd"/>
          </w:p>
        </w:tc>
        <w:tc>
          <w:tcPr>
            <w:tcW w:w="1134" w:type="dxa"/>
            <w:shd w:val="clear" w:color="auto" w:fill="FFFFFF"/>
          </w:tcPr>
          <w:p w14:paraId="5F990D94" w14:textId="77777777" w:rsidR="00020BE2" w:rsidRDefault="007B296E" w:rsidP="00083C01">
            <w:pPr>
              <w:pStyle w:val="CETBodytext"/>
              <w:rPr>
                <w:lang w:val="en-GB"/>
              </w:rPr>
            </w:pPr>
            <w:r>
              <w:rPr>
                <w:lang w:val="en-GB"/>
              </w:rPr>
              <w:t xml:space="preserve">       26.95</w:t>
            </w:r>
          </w:p>
          <w:p w14:paraId="209D5D19" w14:textId="77777777" w:rsidR="007B296E" w:rsidRDefault="007B296E" w:rsidP="00083C01">
            <w:pPr>
              <w:pStyle w:val="CETBodytext"/>
              <w:rPr>
                <w:lang w:val="en-GB"/>
              </w:rPr>
            </w:pPr>
            <w:r>
              <w:rPr>
                <w:lang w:val="en-GB"/>
              </w:rPr>
              <w:t xml:space="preserve">       7.099</w:t>
            </w:r>
          </w:p>
          <w:p w14:paraId="76C6C77F" w14:textId="77777777" w:rsidR="007B296E" w:rsidRDefault="007B296E" w:rsidP="00083C01">
            <w:pPr>
              <w:pStyle w:val="CETBodytext"/>
              <w:rPr>
                <w:lang w:val="en-GB"/>
              </w:rPr>
            </w:pPr>
            <w:r>
              <w:rPr>
                <w:lang w:val="en-GB"/>
              </w:rPr>
              <w:t xml:space="preserve">       10</w:t>
            </w:r>
          </w:p>
          <w:p w14:paraId="6340DE85" w14:textId="77777777" w:rsidR="007B296E" w:rsidRDefault="007B296E" w:rsidP="00083C01">
            <w:pPr>
              <w:pStyle w:val="CETBodytext"/>
              <w:rPr>
                <w:lang w:val="en-GB"/>
              </w:rPr>
            </w:pPr>
            <w:r>
              <w:rPr>
                <w:lang w:val="en-GB"/>
              </w:rPr>
              <w:t xml:space="preserve">       33</w:t>
            </w:r>
          </w:p>
          <w:p w14:paraId="4A400685" w14:textId="77777777" w:rsidR="007B296E" w:rsidRDefault="007B296E" w:rsidP="00083C01">
            <w:pPr>
              <w:pStyle w:val="CETBodytext"/>
              <w:rPr>
                <w:lang w:val="en-GB"/>
              </w:rPr>
            </w:pPr>
          </w:p>
          <w:p w14:paraId="78459BF1" w14:textId="77777777" w:rsidR="007B296E" w:rsidRDefault="007B296E" w:rsidP="00083C01">
            <w:pPr>
              <w:pStyle w:val="CETBodytext"/>
              <w:rPr>
                <w:lang w:val="en-GB"/>
              </w:rPr>
            </w:pPr>
            <w:r>
              <w:rPr>
                <w:lang w:val="en-GB"/>
              </w:rPr>
              <w:t xml:space="preserve">       24.96</w:t>
            </w:r>
          </w:p>
          <w:p w14:paraId="05BE391C" w14:textId="77777777" w:rsidR="007B296E" w:rsidRDefault="007B296E" w:rsidP="00083C01">
            <w:pPr>
              <w:pStyle w:val="CETBodytext"/>
              <w:rPr>
                <w:lang w:val="en-GB"/>
              </w:rPr>
            </w:pPr>
            <w:r>
              <w:rPr>
                <w:lang w:val="en-GB"/>
              </w:rPr>
              <w:t xml:space="preserve">       6.647</w:t>
            </w:r>
          </w:p>
          <w:p w14:paraId="36E9B2FC" w14:textId="77777777" w:rsidR="007B296E" w:rsidRDefault="007B296E" w:rsidP="00083C01">
            <w:pPr>
              <w:pStyle w:val="CETBodytext"/>
              <w:rPr>
                <w:lang w:val="en-GB"/>
              </w:rPr>
            </w:pPr>
            <w:r>
              <w:rPr>
                <w:lang w:val="en-GB"/>
              </w:rPr>
              <w:t xml:space="preserve">       11</w:t>
            </w:r>
          </w:p>
          <w:p w14:paraId="11CE9470" w14:textId="77777777" w:rsidR="007B296E" w:rsidRDefault="007B296E" w:rsidP="00083C01">
            <w:pPr>
              <w:pStyle w:val="CETBodytext"/>
              <w:rPr>
                <w:lang w:val="en-GB"/>
              </w:rPr>
            </w:pPr>
            <w:r>
              <w:rPr>
                <w:lang w:val="en-GB"/>
              </w:rPr>
              <w:t xml:space="preserve">       35</w:t>
            </w:r>
          </w:p>
          <w:p w14:paraId="759C41BA" w14:textId="5247B011" w:rsidR="007B296E" w:rsidRPr="00B57B36" w:rsidRDefault="007B296E" w:rsidP="00083C01">
            <w:pPr>
              <w:pStyle w:val="CETBodytext"/>
              <w:rPr>
                <w:lang w:val="en-GB"/>
              </w:rPr>
            </w:pPr>
          </w:p>
        </w:tc>
        <w:tc>
          <w:tcPr>
            <w:tcW w:w="1134" w:type="dxa"/>
            <w:shd w:val="clear" w:color="auto" w:fill="FFFFFF"/>
          </w:tcPr>
          <w:p w14:paraId="0692737C" w14:textId="77777777" w:rsidR="00020BE2" w:rsidRPr="00B57B36" w:rsidRDefault="00020BE2" w:rsidP="00083C01">
            <w:pPr>
              <w:pStyle w:val="CETBodytext"/>
              <w:ind w:right="-1"/>
              <w:rPr>
                <w:rFonts w:cs="Arial"/>
                <w:szCs w:val="18"/>
                <w:lang w:val="en-GB"/>
              </w:rPr>
            </w:pPr>
          </w:p>
        </w:tc>
        <w:tc>
          <w:tcPr>
            <w:tcW w:w="1134" w:type="dxa"/>
            <w:shd w:val="clear" w:color="auto" w:fill="FFFFFF"/>
          </w:tcPr>
          <w:p w14:paraId="3B6519B7" w14:textId="77777777" w:rsidR="00020BE2" w:rsidRPr="00B57B36" w:rsidRDefault="00020BE2" w:rsidP="00083C01">
            <w:pPr>
              <w:pStyle w:val="CETBodytext"/>
              <w:ind w:right="-1"/>
              <w:rPr>
                <w:rFonts w:cs="Arial"/>
                <w:szCs w:val="18"/>
                <w:lang w:val="en-GB"/>
              </w:rPr>
            </w:pPr>
          </w:p>
        </w:tc>
      </w:tr>
      <w:bookmarkEnd w:id="2"/>
    </w:tbl>
    <w:p w14:paraId="170F6FCE" w14:textId="77777777" w:rsidR="00020BE2" w:rsidRDefault="00020BE2" w:rsidP="00EF7A08">
      <w:pPr>
        <w:pStyle w:val="CETBodytext"/>
      </w:pPr>
    </w:p>
    <w:p w14:paraId="7659FDB9" w14:textId="236E2D61" w:rsidR="000357BE" w:rsidRPr="000357BE" w:rsidRDefault="000357BE" w:rsidP="00206667">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sidRPr="000357BE">
        <w:rPr>
          <w:noProof w:val="0"/>
          <w:lang w:val="en-US"/>
        </w:rPr>
        <w:t>In the Bolognesi area, 10 units of analysis were taken, where a minimum of 10 g of carbon and a maximum of 33 g of carbon were obtained in their storage capacity in the crop (carbon stored in fruits and leaves was considered); likewise, an average of 26.49 g of carbon captured and stored in the samples from the Bolognesi area was obtained. The standard deviation was 7.09 (SD= 7.09)</w:t>
      </w:r>
      <w:r>
        <w:rPr>
          <w:noProof w:val="0"/>
          <w:lang w:val="en-US"/>
        </w:rPr>
        <w:t>.</w:t>
      </w:r>
    </w:p>
    <w:p w14:paraId="753CBF6F" w14:textId="08B4D3BD" w:rsidR="000357BE" w:rsidRPr="000357BE" w:rsidRDefault="000357BE" w:rsidP="00206667">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Pr>
          <w:noProof w:val="0"/>
          <w:lang w:val="en-US"/>
        </w:rPr>
        <w:t>I</w:t>
      </w:r>
      <w:r w:rsidRPr="000357BE">
        <w:rPr>
          <w:noProof w:val="0"/>
          <w:lang w:val="en-US"/>
        </w:rPr>
        <w:t xml:space="preserve">t should be noted that the 10 samples have a median of 26.91 g of carbon, meaning that 50% of the 10 samples have carbon captured and </w:t>
      </w:r>
      <w:proofErr w:type="gramStart"/>
      <w:r w:rsidRPr="000357BE">
        <w:rPr>
          <w:noProof w:val="0"/>
          <w:lang w:val="en-US"/>
        </w:rPr>
        <w:t>stored in the crop</w:t>
      </w:r>
      <w:proofErr w:type="gramEnd"/>
      <w:r w:rsidRPr="000357BE">
        <w:rPr>
          <w:noProof w:val="0"/>
          <w:lang w:val="en-US"/>
        </w:rPr>
        <w:t xml:space="preserve"> in quantities less than 26.91 g, and the other 50% of the samples have values ​​greater than 26.91 g of carbon captured and stored in the crop</w:t>
      </w:r>
    </w:p>
    <w:p w14:paraId="12904B70" w14:textId="77777777" w:rsidR="000357BE" w:rsidRPr="002E4201" w:rsidRDefault="0000201D" w:rsidP="00206667">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inherit" w:hAnsi="inherit" w:cs="Courier New"/>
          <w:noProof w:val="0"/>
          <w:color w:val="1F1F1F"/>
          <w:sz w:val="42"/>
          <w:szCs w:val="42"/>
          <w:lang w:val="en-US" w:eastAsia="es-PE"/>
        </w:rPr>
      </w:pPr>
      <w:r w:rsidRPr="002E4201">
        <w:rPr>
          <w:lang w:val="en-US"/>
        </w:rPr>
        <w:t xml:space="preserve"> </w:t>
      </w:r>
      <w:r w:rsidR="000357BE" w:rsidRPr="000357BE">
        <w:rPr>
          <w:noProof w:val="0"/>
          <w:lang w:val="en-US"/>
        </w:rPr>
        <w:t>On the other hand, using the 10 samples from the La Divisoria area as units of analysis, a minimum of 11 g of carbon captured and stored and a maximum of 35 g of carbon were obtained in the crop's storage capacity (considering carbon from fruits and leaves); likewise, an average of 24.75 g of carbon captured and stored was obtained in the samples from the La Divisoria area. The standard deviation was 6.64</w:t>
      </w:r>
    </w:p>
    <w:p w14:paraId="344FDDF0" w14:textId="77777777" w:rsidR="000357BE" w:rsidRPr="000357BE" w:rsidRDefault="000357BE" w:rsidP="00206667">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sidRPr="000357BE">
        <w:rPr>
          <w:noProof w:val="0"/>
          <w:lang w:val="en-US"/>
        </w:rPr>
        <w:t>It should be noted that the 10 samples have a median of 24.96 g of carbon, meaning that of the 10 samples, 50% of them have carbon captured and stored in the crop with amounts less than 24.96 g, and the other 50% of the samples have values ​​greater than 26.96 g of carbon captured and stored in the crop.</w:t>
      </w:r>
    </w:p>
    <w:p w14:paraId="7A04AC22" w14:textId="77777777" w:rsidR="0045265E" w:rsidRPr="000357BE" w:rsidRDefault="0045265E" w:rsidP="000357BE">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noProof w:val="0"/>
          <w:lang w:val="en-US"/>
        </w:rPr>
      </w:pPr>
    </w:p>
    <w:p w14:paraId="6BB6B4B5" w14:textId="46E5CA64" w:rsidR="0045265E" w:rsidRDefault="0045265E" w:rsidP="0045265E">
      <w:pPr>
        <w:pStyle w:val="CETTabletitle"/>
      </w:pPr>
      <w:r w:rsidRPr="00B57B36">
        <w:t xml:space="preserve">Table </w:t>
      </w:r>
      <w:r>
        <w:t>2</w:t>
      </w:r>
      <w:r w:rsidRPr="00B57B36">
        <w:t xml:space="preserve">: </w:t>
      </w:r>
      <w:r w:rsidR="000357BE">
        <w:t>Organic carbon</w:t>
      </w:r>
      <w:r w:rsidRPr="0045265E">
        <w:t xml:space="preserve"> (g) </w:t>
      </w:r>
      <w:r w:rsidR="000357BE">
        <w:t>in the soil</w:t>
      </w:r>
      <w:r w:rsidRPr="0045265E">
        <w:t xml:space="preserve"> – Bolognesi </w:t>
      </w:r>
      <w:r w:rsidR="000357BE">
        <w:t xml:space="preserve">and the </w:t>
      </w:r>
      <w:r w:rsidRPr="0045265E">
        <w:t xml:space="preserve">Divisoria     </w:t>
      </w:r>
    </w:p>
    <w:tbl>
      <w:tblPr>
        <w:tblW w:w="6662"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701"/>
        <w:gridCol w:w="1559"/>
        <w:gridCol w:w="1134"/>
        <w:gridCol w:w="1134"/>
        <w:gridCol w:w="1134"/>
      </w:tblGrid>
      <w:tr w:rsidR="007F7250" w:rsidRPr="00B57B36" w14:paraId="254D40EC" w14:textId="77777777" w:rsidTr="007F7250">
        <w:tc>
          <w:tcPr>
            <w:tcW w:w="1701" w:type="dxa"/>
            <w:tcBorders>
              <w:top w:val="single" w:sz="12" w:space="0" w:color="008000"/>
              <w:bottom w:val="single" w:sz="6" w:space="0" w:color="008000"/>
            </w:tcBorders>
            <w:shd w:val="clear" w:color="auto" w:fill="FFFFFF"/>
          </w:tcPr>
          <w:p w14:paraId="318DAE47" w14:textId="77777777" w:rsidR="007F7250" w:rsidRPr="00B57B36" w:rsidRDefault="007F7250" w:rsidP="00083C01">
            <w:pPr>
              <w:pStyle w:val="CETBodytext"/>
              <w:rPr>
                <w:lang w:val="en-GB"/>
              </w:rPr>
            </w:pPr>
            <w:bookmarkStart w:id="3" w:name="_Hlk225412009"/>
            <w:r>
              <w:rPr>
                <w:lang w:val="en-GB"/>
              </w:rPr>
              <w:t>Sample Location</w:t>
            </w:r>
            <w:r w:rsidRPr="00B57B36">
              <w:rPr>
                <w:lang w:val="en-GB"/>
              </w:rPr>
              <w:t xml:space="preserve"> </w:t>
            </w:r>
          </w:p>
        </w:tc>
        <w:tc>
          <w:tcPr>
            <w:tcW w:w="1559" w:type="dxa"/>
            <w:tcBorders>
              <w:top w:val="single" w:sz="12" w:space="0" w:color="008000"/>
              <w:bottom w:val="single" w:sz="6" w:space="0" w:color="008000"/>
            </w:tcBorders>
            <w:shd w:val="clear" w:color="auto" w:fill="FFFFFF"/>
          </w:tcPr>
          <w:p w14:paraId="2363961D" w14:textId="77777777" w:rsidR="007F7250" w:rsidRPr="00B57B36" w:rsidRDefault="007F7250" w:rsidP="00083C01">
            <w:pPr>
              <w:pStyle w:val="CETBodytext"/>
              <w:rPr>
                <w:lang w:val="en-GB"/>
              </w:rPr>
            </w:pPr>
            <w:r>
              <w:rPr>
                <w:lang w:val="en-GB"/>
              </w:rPr>
              <w:t>Descriptive Results</w:t>
            </w:r>
          </w:p>
        </w:tc>
        <w:tc>
          <w:tcPr>
            <w:tcW w:w="1134" w:type="dxa"/>
            <w:tcBorders>
              <w:top w:val="single" w:sz="12" w:space="0" w:color="008000"/>
              <w:bottom w:val="single" w:sz="6" w:space="0" w:color="008000"/>
            </w:tcBorders>
            <w:shd w:val="clear" w:color="auto" w:fill="FFFFFF"/>
          </w:tcPr>
          <w:p w14:paraId="3E82927A" w14:textId="77777777" w:rsidR="007F7250" w:rsidRDefault="007F7250" w:rsidP="00083C01">
            <w:pPr>
              <w:pStyle w:val="CETBodytext"/>
              <w:rPr>
                <w:lang w:val="en-GB"/>
              </w:rPr>
            </w:pPr>
            <w:r>
              <w:rPr>
                <w:lang w:val="en-GB"/>
              </w:rPr>
              <w:t xml:space="preserve">   Statistical </w:t>
            </w:r>
          </w:p>
          <w:p w14:paraId="323A3826" w14:textId="77777777" w:rsidR="007F7250" w:rsidRPr="00B57B36" w:rsidRDefault="007F7250" w:rsidP="00083C01">
            <w:pPr>
              <w:pStyle w:val="CETBodytext"/>
              <w:rPr>
                <w:lang w:val="en-GB"/>
              </w:rPr>
            </w:pPr>
          </w:p>
        </w:tc>
        <w:tc>
          <w:tcPr>
            <w:tcW w:w="1134" w:type="dxa"/>
            <w:tcBorders>
              <w:top w:val="single" w:sz="12" w:space="0" w:color="008000"/>
              <w:bottom w:val="single" w:sz="6" w:space="0" w:color="008000"/>
            </w:tcBorders>
            <w:shd w:val="clear" w:color="auto" w:fill="FFFFFF"/>
          </w:tcPr>
          <w:p w14:paraId="7E88DDDF" w14:textId="77777777" w:rsidR="007F7250" w:rsidRPr="00B57B36" w:rsidRDefault="007F7250" w:rsidP="00083C01">
            <w:pPr>
              <w:pStyle w:val="CETBodytext"/>
              <w:ind w:right="-1"/>
              <w:rPr>
                <w:rFonts w:cs="Arial"/>
                <w:szCs w:val="18"/>
                <w:lang w:val="en-GB"/>
              </w:rPr>
            </w:pPr>
          </w:p>
        </w:tc>
        <w:tc>
          <w:tcPr>
            <w:tcW w:w="1134" w:type="dxa"/>
            <w:tcBorders>
              <w:top w:val="single" w:sz="12" w:space="0" w:color="008000"/>
              <w:bottom w:val="single" w:sz="6" w:space="0" w:color="008000"/>
            </w:tcBorders>
            <w:shd w:val="clear" w:color="auto" w:fill="FFFFFF"/>
          </w:tcPr>
          <w:p w14:paraId="63B4AC92" w14:textId="77777777" w:rsidR="007F7250" w:rsidRPr="00B57B36" w:rsidRDefault="007F7250" w:rsidP="00083C01">
            <w:pPr>
              <w:pStyle w:val="CETBodytext"/>
              <w:ind w:right="-1"/>
              <w:rPr>
                <w:rFonts w:cs="Arial"/>
                <w:szCs w:val="18"/>
                <w:lang w:val="en-GB"/>
              </w:rPr>
            </w:pPr>
          </w:p>
        </w:tc>
      </w:tr>
      <w:tr w:rsidR="007F7250" w:rsidRPr="00B57B36" w14:paraId="01988D1E" w14:textId="77777777" w:rsidTr="007F7250">
        <w:tc>
          <w:tcPr>
            <w:tcW w:w="1701" w:type="dxa"/>
            <w:shd w:val="clear" w:color="auto" w:fill="FFFFFF"/>
          </w:tcPr>
          <w:p w14:paraId="1FC05615" w14:textId="77777777" w:rsidR="007F7250" w:rsidRDefault="007F7250" w:rsidP="00083C01">
            <w:pPr>
              <w:pStyle w:val="CETBodytext"/>
              <w:rPr>
                <w:lang w:val="en-GB"/>
              </w:rPr>
            </w:pPr>
            <w:r>
              <w:rPr>
                <w:lang w:val="en-GB"/>
              </w:rPr>
              <w:lastRenderedPageBreak/>
              <w:t>Bolognesi</w:t>
            </w:r>
          </w:p>
          <w:p w14:paraId="30B32DE2" w14:textId="77777777" w:rsidR="007F7250" w:rsidRDefault="007F7250" w:rsidP="00083C01">
            <w:pPr>
              <w:pStyle w:val="CETBodytext"/>
              <w:rPr>
                <w:lang w:val="en-GB"/>
              </w:rPr>
            </w:pPr>
          </w:p>
          <w:p w14:paraId="64F4112A" w14:textId="77777777" w:rsidR="007F7250" w:rsidRDefault="007F7250" w:rsidP="00083C01">
            <w:pPr>
              <w:pStyle w:val="CETBodytext"/>
              <w:rPr>
                <w:lang w:val="en-GB"/>
              </w:rPr>
            </w:pPr>
          </w:p>
          <w:p w14:paraId="02435ED7" w14:textId="77777777" w:rsidR="007F7250" w:rsidRDefault="007F7250" w:rsidP="00083C01">
            <w:pPr>
              <w:pStyle w:val="CETBodytext"/>
              <w:rPr>
                <w:lang w:val="en-GB"/>
              </w:rPr>
            </w:pPr>
          </w:p>
          <w:p w14:paraId="6D9A04C4" w14:textId="77777777" w:rsidR="007F7250" w:rsidRDefault="007F7250" w:rsidP="00083C01">
            <w:pPr>
              <w:pStyle w:val="CETBodytext"/>
              <w:rPr>
                <w:lang w:val="en-GB"/>
              </w:rPr>
            </w:pPr>
          </w:p>
          <w:p w14:paraId="48B5C8EB" w14:textId="0FE5049F" w:rsidR="007F7250" w:rsidRPr="00B57B36" w:rsidRDefault="007F7250" w:rsidP="00083C01">
            <w:pPr>
              <w:pStyle w:val="CETBodytext"/>
              <w:rPr>
                <w:lang w:val="en-GB"/>
              </w:rPr>
            </w:pPr>
            <w:r>
              <w:rPr>
                <w:lang w:val="en-GB"/>
              </w:rPr>
              <w:t xml:space="preserve">The Divisoria </w:t>
            </w:r>
          </w:p>
        </w:tc>
        <w:tc>
          <w:tcPr>
            <w:tcW w:w="1559" w:type="dxa"/>
            <w:shd w:val="clear" w:color="auto" w:fill="FFFFFF"/>
          </w:tcPr>
          <w:p w14:paraId="00E9B791" w14:textId="77777777" w:rsidR="007F7250" w:rsidRDefault="007F7250" w:rsidP="00083C01">
            <w:pPr>
              <w:pStyle w:val="CETBodytext"/>
              <w:rPr>
                <w:lang w:val="en-GB"/>
              </w:rPr>
            </w:pPr>
            <w:r>
              <w:rPr>
                <w:lang w:val="en-GB"/>
              </w:rPr>
              <w:t xml:space="preserve">Median                               Standard deviation                                    </w:t>
            </w:r>
            <w:proofErr w:type="spellStart"/>
            <w:r>
              <w:rPr>
                <w:lang w:val="en-GB"/>
              </w:rPr>
              <w:t>Mínimum</w:t>
            </w:r>
            <w:proofErr w:type="spellEnd"/>
            <w:r>
              <w:rPr>
                <w:lang w:val="en-GB"/>
              </w:rPr>
              <w:t xml:space="preserve">                                 </w:t>
            </w:r>
            <w:proofErr w:type="spellStart"/>
            <w:r>
              <w:rPr>
                <w:lang w:val="en-GB"/>
              </w:rPr>
              <w:t>Máximum</w:t>
            </w:r>
            <w:proofErr w:type="spellEnd"/>
          </w:p>
          <w:p w14:paraId="2133E123" w14:textId="77777777" w:rsidR="007F7250" w:rsidRDefault="007F7250" w:rsidP="00083C01">
            <w:pPr>
              <w:pStyle w:val="CETBodytext"/>
              <w:rPr>
                <w:lang w:val="en-GB"/>
              </w:rPr>
            </w:pPr>
          </w:p>
          <w:p w14:paraId="5E50BCAD" w14:textId="51152B65" w:rsidR="007F7250" w:rsidRPr="00B57B36" w:rsidRDefault="007F7250" w:rsidP="00083C01">
            <w:pPr>
              <w:pStyle w:val="CETBodytext"/>
              <w:rPr>
                <w:lang w:val="en-GB"/>
              </w:rPr>
            </w:pPr>
            <w:r>
              <w:rPr>
                <w:lang w:val="en-GB"/>
              </w:rPr>
              <w:t xml:space="preserve">Median                               Standard deviation                                  </w:t>
            </w:r>
            <w:proofErr w:type="spellStart"/>
            <w:r>
              <w:rPr>
                <w:lang w:val="en-GB"/>
              </w:rPr>
              <w:t>Mínimum</w:t>
            </w:r>
            <w:proofErr w:type="spellEnd"/>
            <w:r>
              <w:rPr>
                <w:lang w:val="en-GB"/>
              </w:rPr>
              <w:t xml:space="preserve">                                 </w:t>
            </w:r>
            <w:proofErr w:type="spellStart"/>
            <w:r>
              <w:rPr>
                <w:lang w:val="en-GB"/>
              </w:rPr>
              <w:t>Máximum</w:t>
            </w:r>
            <w:proofErr w:type="spellEnd"/>
          </w:p>
        </w:tc>
        <w:tc>
          <w:tcPr>
            <w:tcW w:w="1134" w:type="dxa"/>
            <w:shd w:val="clear" w:color="auto" w:fill="FFFFFF"/>
          </w:tcPr>
          <w:p w14:paraId="5A6330B2" w14:textId="4BBAD445" w:rsidR="007F7250" w:rsidRDefault="007F7250" w:rsidP="00083C01">
            <w:pPr>
              <w:pStyle w:val="CETBodytext"/>
              <w:rPr>
                <w:lang w:val="en-GB"/>
              </w:rPr>
            </w:pPr>
            <w:r>
              <w:rPr>
                <w:lang w:val="en-GB"/>
              </w:rPr>
              <w:t xml:space="preserve">       11.4580</w:t>
            </w:r>
          </w:p>
          <w:p w14:paraId="2A4FF7C7" w14:textId="72528C93" w:rsidR="007F7250" w:rsidRDefault="007F7250" w:rsidP="00083C01">
            <w:pPr>
              <w:pStyle w:val="CETBodytext"/>
              <w:rPr>
                <w:lang w:val="en-GB"/>
              </w:rPr>
            </w:pPr>
            <w:r>
              <w:rPr>
                <w:lang w:val="en-GB"/>
              </w:rPr>
              <w:t xml:space="preserve">       1.13576</w:t>
            </w:r>
          </w:p>
          <w:p w14:paraId="58E16256" w14:textId="5331EED1" w:rsidR="007F7250" w:rsidRDefault="007F7250" w:rsidP="00083C01">
            <w:pPr>
              <w:pStyle w:val="CETBodytext"/>
              <w:rPr>
                <w:lang w:val="en-GB"/>
              </w:rPr>
            </w:pPr>
            <w:r>
              <w:rPr>
                <w:lang w:val="en-GB"/>
              </w:rPr>
              <w:t xml:space="preserve">       10.28</w:t>
            </w:r>
          </w:p>
          <w:p w14:paraId="59865D4D" w14:textId="39CACA5A" w:rsidR="007F7250" w:rsidRDefault="007F7250" w:rsidP="00083C01">
            <w:pPr>
              <w:pStyle w:val="CETBodytext"/>
              <w:rPr>
                <w:lang w:val="en-GB"/>
              </w:rPr>
            </w:pPr>
            <w:r>
              <w:rPr>
                <w:lang w:val="en-GB"/>
              </w:rPr>
              <w:t xml:space="preserve">       14.32</w:t>
            </w:r>
          </w:p>
          <w:p w14:paraId="12B62792" w14:textId="77777777" w:rsidR="007F7250" w:rsidRDefault="007F7250" w:rsidP="00083C01">
            <w:pPr>
              <w:pStyle w:val="CETBodytext"/>
              <w:rPr>
                <w:lang w:val="en-GB"/>
              </w:rPr>
            </w:pPr>
          </w:p>
          <w:p w14:paraId="7118C249" w14:textId="2121A8DC" w:rsidR="007F7250" w:rsidRDefault="007F7250" w:rsidP="00083C01">
            <w:pPr>
              <w:pStyle w:val="CETBodytext"/>
              <w:rPr>
                <w:lang w:val="en-GB"/>
              </w:rPr>
            </w:pPr>
            <w:r>
              <w:rPr>
                <w:lang w:val="en-GB"/>
              </w:rPr>
              <w:t xml:space="preserve">       12.1320</w:t>
            </w:r>
          </w:p>
          <w:p w14:paraId="5DE257D7" w14:textId="699ABC5B" w:rsidR="007F7250" w:rsidRDefault="007F7250" w:rsidP="00083C01">
            <w:pPr>
              <w:pStyle w:val="CETBodytext"/>
              <w:rPr>
                <w:lang w:val="en-GB"/>
              </w:rPr>
            </w:pPr>
            <w:r>
              <w:rPr>
                <w:lang w:val="en-GB"/>
              </w:rPr>
              <w:t xml:space="preserve">       0.302020</w:t>
            </w:r>
          </w:p>
          <w:p w14:paraId="4F50AD8B" w14:textId="38D44B42" w:rsidR="007F7250" w:rsidRDefault="007F7250" w:rsidP="00083C01">
            <w:pPr>
              <w:pStyle w:val="CETBodytext"/>
              <w:rPr>
                <w:lang w:val="en-GB"/>
              </w:rPr>
            </w:pPr>
            <w:r>
              <w:rPr>
                <w:lang w:val="en-GB"/>
              </w:rPr>
              <w:t xml:space="preserve">       11.63</w:t>
            </w:r>
          </w:p>
          <w:p w14:paraId="651E908D" w14:textId="6F719BE4" w:rsidR="007F7250" w:rsidRDefault="007F7250" w:rsidP="00083C01">
            <w:pPr>
              <w:pStyle w:val="CETBodytext"/>
              <w:rPr>
                <w:lang w:val="en-GB"/>
              </w:rPr>
            </w:pPr>
            <w:r>
              <w:rPr>
                <w:lang w:val="en-GB"/>
              </w:rPr>
              <w:t xml:space="preserve">       12.47</w:t>
            </w:r>
          </w:p>
          <w:p w14:paraId="67B62DF2" w14:textId="77777777" w:rsidR="007F7250" w:rsidRPr="00B57B36" w:rsidRDefault="007F7250" w:rsidP="00083C01">
            <w:pPr>
              <w:pStyle w:val="CETBodytext"/>
              <w:rPr>
                <w:lang w:val="en-GB"/>
              </w:rPr>
            </w:pPr>
          </w:p>
        </w:tc>
        <w:tc>
          <w:tcPr>
            <w:tcW w:w="1134" w:type="dxa"/>
            <w:shd w:val="clear" w:color="auto" w:fill="FFFFFF"/>
          </w:tcPr>
          <w:p w14:paraId="530D9938" w14:textId="77777777" w:rsidR="007F7250" w:rsidRPr="00B57B36" w:rsidRDefault="007F7250" w:rsidP="00083C01">
            <w:pPr>
              <w:pStyle w:val="CETBodytext"/>
              <w:ind w:right="-1"/>
              <w:rPr>
                <w:rFonts w:cs="Arial"/>
                <w:szCs w:val="18"/>
                <w:lang w:val="en-GB"/>
              </w:rPr>
            </w:pPr>
          </w:p>
        </w:tc>
        <w:tc>
          <w:tcPr>
            <w:tcW w:w="1134" w:type="dxa"/>
            <w:shd w:val="clear" w:color="auto" w:fill="FFFFFF"/>
          </w:tcPr>
          <w:p w14:paraId="4BBBE04B" w14:textId="77777777" w:rsidR="007F7250" w:rsidRPr="00B57B36" w:rsidRDefault="007F7250" w:rsidP="00083C01">
            <w:pPr>
              <w:pStyle w:val="CETBodytext"/>
              <w:ind w:right="-1"/>
              <w:rPr>
                <w:rFonts w:cs="Arial"/>
                <w:szCs w:val="18"/>
                <w:lang w:val="en-GB"/>
              </w:rPr>
            </w:pPr>
          </w:p>
        </w:tc>
      </w:tr>
      <w:bookmarkEnd w:id="3"/>
    </w:tbl>
    <w:p w14:paraId="32651A82" w14:textId="77777777" w:rsidR="0045265E" w:rsidRDefault="0045265E" w:rsidP="0000201D">
      <w:pPr>
        <w:pStyle w:val="CETBodytext"/>
      </w:pPr>
    </w:p>
    <w:p w14:paraId="53B1085B" w14:textId="77777777" w:rsidR="002A2CAE" w:rsidRPr="002A2CAE" w:rsidRDefault="002A2CAE" w:rsidP="00206667">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sidRPr="002A2CAE">
        <w:rPr>
          <w:noProof w:val="0"/>
          <w:lang w:val="en-US"/>
        </w:rPr>
        <w:t>In the Bolognesi area, a minimum of 10.28 g of carbon and a maximum of 14.32 g of organic carbon were obtained in the soil; likewise, an average of 11.60 g of organic carbon was obtained in the Bolognesi samples. The standard deviation was 1.13. It should be noted that the median of the 10 samples was 11.45 g of carbon, meaning that of the 10 samples, 50% of them had less than 26.91 g of organic carbon in the soil, and the other 50% had values ​​greater than 26.91 g of organic carbon in the soil.</w:t>
      </w:r>
    </w:p>
    <w:p w14:paraId="0D525436" w14:textId="77777777" w:rsidR="00DC3F3C" w:rsidRDefault="00DC3F3C" w:rsidP="00206667">
      <w:pPr>
        <w:pStyle w:val="CETBodytext"/>
      </w:pPr>
    </w:p>
    <w:p w14:paraId="6AD22CFD" w14:textId="77777777" w:rsidR="005417B5" w:rsidRPr="005417B5" w:rsidRDefault="005417B5" w:rsidP="00206667">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sidRPr="005417B5">
        <w:rPr>
          <w:noProof w:val="0"/>
          <w:lang w:val="en-US"/>
        </w:rPr>
        <w:t>At La Divisoria, a minimum of 11.63 g of carbon and a maximum of 12.47 g of organic carbon were obtained in the soil; likewise, an average of 12.04 g of organic carbon was obtained in the Bolognesi samples.</w:t>
      </w:r>
    </w:p>
    <w:p w14:paraId="1C14C72B" w14:textId="77777777" w:rsidR="005417B5" w:rsidRPr="005417B5" w:rsidRDefault="005417B5" w:rsidP="00206667">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p>
    <w:p w14:paraId="64298DC4" w14:textId="77777777" w:rsidR="005417B5" w:rsidRDefault="005417B5" w:rsidP="00206667">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sidRPr="005417B5">
        <w:rPr>
          <w:noProof w:val="0"/>
          <w:lang w:val="en-US"/>
        </w:rPr>
        <w:t>The standard deviation was 0.32. It should be noted that the median of the 10 samples was 12.13 g of carbon, meaning that 50% of the 10 samples had less than 12.13 g of organic carbon in the soil, and the other 50% had values ​​greater than 12.13 g of organic carbon in the soil.</w:t>
      </w:r>
    </w:p>
    <w:p w14:paraId="5419B87C" w14:textId="77777777" w:rsidR="00D7148D" w:rsidRDefault="00D7148D" w:rsidP="00206667">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p>
    <w:p w14:paraId="6AB27872" w14:textId="7DD84257" w:rsidR="00D7148D" w:rsidRDefault="00D7148D" w:rsidP="00D7148D">
      <w:pPr>
        <w:pStyle w:val="CETTabletitle"/>
      </w:pPr>
      <w:r w:rsidRPr="00B57B36">
        <w:t xml:space="preserve">Table </w:t>
      </w:r>
      <w:r>
        <w:t>3</w:t>
      </w:r>
      <w:r w:rsidRPr="00B57B36">
        <w:t xml:space="preserve">: </w:t>
      </w:r>
      <w:r w:rsidR="00543A5A">
        <w:t>Carbon storage in leaves, root and fruit</w:t>
      </w:r>
      <w:r w:rsidRPr="009E52F3">
        <w:t xml:space="preserve"> (</w:t>
      </w:r>
      <w:r w:rsidR="00E471AE">
        <w:t>g</w:t>
      </w:r>
      <w:r w:rsidRPr="009E52F3">
        <w:t xml:space="preserve">) - Bolognesi </w:t>
      </w:r>
      <w:r>
        <w:t>and the</w:t>
      </w:r>
      <w:r w:rsidRPr="009E52F3">
        <w:t xml:space="preserve"> Divisoria</w:t>
      </w:r>
    </w:p>
    <w:tbl>
      <w:tblPr>
        <w:tblW w:w="7265"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809"/>
        <w:gridCol w:w="885"/>
        <w:gridCol w:w="147"/>
        <w:gridCol w:w="1466"/>
        <w:gridCol w:w="1363"/>
        <w:gridCol w:w="1595"/>
      </w:tblGrid>
      <w:tr w:rsidR="00AB392D" w:rsidRPr="00736528" w14:paraId="6CBE6710" w14:textId="3C40A2AA" w:rsidTr="00AB392D">
        <w:trPr>
          <w:trHeight w:val="747"/>
        </w:trPr>
        <w:tc>
          <w:tcPr>
            <w:tcW w:w="1809" w:type="dxa"/>
            <w:tcBorders>
              <w:top w:val="single" w:sz="12" w:space="0" w:color="008000"/>
              <w:bottom w:val="single" w:sz="6" w:space="0" w:color="008000"/>
            </w:tcBorders>
            <w:shd w:val="clear" w:color="auto" w:fill="FFFFFF"/>
          </w:tcPr>
          <w:p w14:paraId="5BC38BBF" w14:textId="77777777" w:rsidR="00AB392D" w:rsidRPr="00B57B36" w:rsidRDefault="00AB392D" w:rsidP="00AB392D">
            <w:pPr>
              <w:pStyle w:val="CETBodytext"/>
              <w:ind w:right="414"/>
              <w:rPr>
                <w:lang w:val="en-GB"/>
              </w:rPr>
            </w:pPr>
            <w:r>
              <w:rPr>
                <w:lang w:val="en-GB"/>
              </w:rPr>
              <w:t>Sample Location</w:t>
            </w:r>
            <w:r w:rsidRPr="00B57B36">
              <w:rPr>
                <w:lang w:val="en-GB"/>
              </w:rPr>
              <w:t xml:space="preserve"> </w:t>
            </w:r>
          </w:p>
        </w:tc>
        <w:tc>
          <w:tcPr>
            <w:tcW w:w="885" w:type="dxa"/>
            <w:tcBorders>
              <w:top w:val="single" w:sz="12" w:space="0" w:color="008000"/>
              <w:bottom w:val="single" w:sz="6" w:space="0" w:color="008000"/>
            </w:tcBorders>
            <w:shd w:val="clear" w:color="auto" w:fill="FFFFFF"/>
          </w:tcPr>
          <w:p w14:paraId="6FAFE58B" w14:textId="77777777" w:rsidR="00AB392D" w:rsidRDefault="00AB392D" w:rsidP="00083C01">
            <w:pPr>
              <w:pStyle w:val="CETBodytext"/>
              <w:rPr>
                <w:lang w:val="en-GB"/>
              </w:rPr>
            </w:pPr>
            <w:r>
              <w:rPr>
                <w:lang w:val="en-GB"/>
              </w:rPr>
              <w:t>Carbon</w:t>
            </w:r>
          </w:p>
          <w:p w14:paraId="77D51286" w14:textId="1EDD9DBC" w:rsidR="00AB392D" w:rsidRPr="00B57B36" w:rsidRDefault="00AB392D" w:rsidP="00083C01">
            <w:pPr>
              <w:pStyle w:val="CETBodytext"/>
              <w:rPr>
                <w:lang w:val="en-GB"/>
              </w:rPr>
            </w:pPr>
            <w:r>
              <w:rPr>
                <w:lang w:val="en-GB"/>
              </w:rPr>
              <w:t>Stored in leaves %</w:t>
            </w:r>
          </w:p>
        </w:tc>
        <w:tc>
          <w:tcPr>
            <w:tcW w:w="147" w:type="dxa"/>
            <w:tcBorders>
              <w:top w:val="single" w:sz="12" w:space="0" w:color="008000"/>
              <w:bottom w:val="single" w:sz="6" w:space="0" w:color="008000"/>
            </w:tcBorders>
            <w:shd w:val="clear" w:color="auto" w:fill="FFFFFF"/>
          </w:tcPr>
          <w:p w14:paraId="2F1F741D" w14:textId="6ED268F4" w:rsidR="00AB392D" w:rsidRPr="00B57B36" w:rsidRDefault="00AB392D" w:rsidP="00543A5A">
            <w:pPr>
              <w:pStyle w:val="CETBodytext"/>
              <w:tabs>
                <w:tab w:val="clear" w:pos="7100"/>
                <w:tab w:val="left" w:pos="634"/>
              </w:tabs>
              <w:ind w:right="146"/>
              <w:rPr>
                <w:lang w:val="en-GB"/>
              </w:rPr>
            </w:pPr>
            <w:r>
              <w:rPr>
                <w:lang w:val="en-GB"/>
              </w:rPr>
              <w:t xml:space="preserve">  </w:t>
            </w:r>
          </w:p>
        </w:tc>
        <w:tc>
          <w:tcPr>
            <w:tcW w:w="1466" w:type="dxa"/>
            <w:tcBorders>
              <w:top w:val="single" w:sz="12" w:space="0" w:color="008000"/>
              <w:bottom w:val="single" w:sz="6" w:space="0" w:color="008000"/>
            </w:tcBorders>
            <w:shd w:val="clear" w:color="auto" w:fill="FFFFFF"/>
          </w:tcPr>
          <w:p w14:paraId="71A095B6" w14:textId="77777777" w:rsidR="00AB392D" w:rsidRDefault="00AB392D" w:rsidP="00543A5A">
            <w:pPr>
              <w:pStyle w:val="CETBodytext"/>
              <w:ind w:left="-143" w:right="-1" w:firstLine="139"/>
              <w:rPr>
                <w:rFonts w:cs="Arial"/>
                <w:szCs w:val="18"/>
                <w:lang w:val="en-GB"/>
              </w:rPr>
            </w:pPr>
            <w:r>
              <w:rPr>
                <w:rFonts w:cs="Arial"/>
                <w:szCs w:val="18"/>
                <w:lang w:val="en-GB"/>
              </w:rPr>
              <w:t xml:space="preserve">Carbon stored </w:t>
            </w:r>
          </w:p>
          <w:p w14:paraId="64B63BC6" w14:textId="60772617" w:rsidR="00AB392D" w:rsidRPr="00B57B36" w:rsidRDefault="00AB392D" w:rsidP="00AB392D">
            <w:pPr>
              <w:pStyle w:val="CETBodytext"/>
              <w:ind w:left="-151" w:right="-1" w:firstLine="139"/>
              <w:rPr>
                <w:rFonts w:cs="Arial"/>
                <w:szCs w:val="18"/>
                <w:lang w:val="en-GB"/>
              </w:rPr>
            </w:pPr>
            <w:r>
              <w:rPr>
                <w:rFonts w:cs="Arial"/>
                <w:szCs w:val="18"/>
                <w:lang w:val="en-GB"/>
              </w:rPr>
              <w:t xml:space="preserve"> in fruit%</w:t>
            </w:r>
          </w:p>
        </w:tc>
        <w:tc>
          <w:tcPr>
            <w:tcW w:w="1363" w:type="dxa"/>
            <w:tcBorders>
              <w:top w:val="single" w:sz="12" w:space="0" w:color="008000"/>
              <w:bottom w:val="single" w:sz="6" w:space="0" w:color="008000"/>
            </w:tcBorders>
            <w:shd w:val="clear" w:color="auto" w:fill="FFFFFF"/>
          </w:tcPr>
          <w:p w14:paraId="3E200075" w14:textId="77FB3117" w:rsidR="00AB392D" w:rsidRPr="00B57B36" w:rsidRDefault="00AB392D" w:rsidP="00AB392D">
            <w:pPr>
              <w:pStyle w:val="CETBodytext"/>
              <w:ind w:left="84" w:right="-1" w:hanging="284"/>
              <w:rPr>
                <w:rFonts w:cs="Arial"/>
                <w:szCs w:val="18"/>
                <w:lang w:val="en-GB"/>
              </w:rPr>
            </w:pPr>
            <w:r>
              <w:rPr>
                <w:rFonts w:cs="Arial"/>
                <w:szCs w:val="18"/>
                <w:lang w:val="en-GB"/>
              </w:rPr>
              <w:t xml:space="preserve">      Sample       </w:t>
            </w:r>
            <w:proofErr w:type="spellStart"/>
            <w:r>
              <w:rPr>
                <w:rFonts w:cs="Arial"/>
                <w:szCs w:val="18"/>
                <w:lang w:val="en-GB"/>
              </w:rPr>
              <w:t>o</w:t>
            </w:r>
            <w:proofErr w:type="spellEnd"/>
            <w:r>
              <w:rPr>
                <w:rFonts w:cs="Arial"/>
                <w:szCs w:val="18"/>
                <w:lang w:val="en-GB"/>
              </w:rPr>
              <w:t xml:space="preserve">   weight(g)</w:t>
            </w:r>
          </w:p>
        </w:tc>
        <w:tc>
          <w:tcPr>
            <w:tcW w:w="1595" w:type="dxa"/>
            <w:tcBorders>
              <w:top w:val="single" w:sz="12" w:space="0" w:color="008000"/>
              <w:bottom w:val="single" w:sz="6" w:space="0" w:color="008000"/>
            </w:tcBorders>
            <w:shd w:val="clear" w:color="auto" w:fill="FFFFFF"/>
          </w:tcPr>
          <w:p w14:paraId="16AD2894" w14:textId="78BD358C" w:rsidR="00AB392D" w:rsidRDefault="007A16F6" w:rsidP="007A16F6">
            <w:pPr>
              <w:pStyle w:val="CETBodytext"/>
              <w:ind w:right="-1"/>
              <w:rPr>
                <w:rFonts w:cs="Arial"/>
                <w:szCs w:val="18"/>
                <w:lang w:val="en-GB"/>
              </w:rPr>
            </w:pPr>
            <w:r>
              <w:rPr>
                <w:rFonts w:cs="Arial"/>
                <w:szCs w:val="18"/>
                <w:lang w:val="en-GB"/>
              </w:rPr>
              <w:t>C</w:t>
            </w:r>
            <w:r w:rsidR="00AB392D">
              <w:rPr>
                <w:rFonts w:cs="Arial"/>
                <w:szCs w:val="18"/>
                <w:lang w:val="en-GB"/>
              </w:rPr>
              <w:t>arbon storage in the crop(g)</w:t>
            </w:r>
          </w:p>
        </w:tc>
      </w:tr>
      <w:tr w:rsidR="00AB392D" w:rsidRPr="00B57B36" w14:paraId="2CB6B821" w14:textId="0BFA80EC" w:rsidTr="00AB392D">
        <w:trPr>
          <w:trHeight w:val="760"/>
        </w:trPr>
        <w:tc>
          <w:tcPr>
            <w:tcW w:w="1809" w:type="dxa"/>
            <w:shd w:val="clear" w:color="auto" w:fill="FFFFFF"/>
          </w:tcPr>
          <w:p w14:paraId="310C83F7" w14:textId="5E9164BA" w:rsidR="00AB392D" w:rsidRDefault="00AB392D" w:rsidP="00083C01">
            <w:pPr>
              <w:pStyle w:val="CETBodytext"/>
              <w:rPr>
                <w:lang w:val="en-GB"/>
              </w:rPr>
            </w:pPr>
            <w:r>
              <w:rPr>
                <w:lang w:val="en-GB"/>
              </w:rPr>
              <w:t>Bolognesi</w:t>
            </w:r>
          </w:p>
          <w:p w14:paraId="482F6AAE" w14:textId="77777777" w:rsidR="00AB392D" w:rsidRDefault="00AB392D" w:rsidP="00083C01">
            <w:pPr>
              <w:pStyle w:val="CETBodytext"/>
              <w:rPr>
                <w:lang w:val="en-GB"/>
              </w:rPr>
            </w:pPr>
          </w:p>
          <w:p w14:paraId="2A6045F8" w14:textId="541033E3" w:rsidR="00AB392D" w:rsidRPr="00B57B36" w:rsidRDefault="00AB392D" w:rsidP="00083C01">
            <w:pPr>
              <w:pStyle w:val="CETBodytext"/>
              <w:rPr>
                <w:lang w:val="en-GB"/>
              </w:rPr>
            </w:pPr>
            <w:r>
              <w:rPr>
                <w:lang w:val="en-GB"/>
              </w:rPr>
              <w:t>The Divisoria</w:t>
            </w:r>
          </w:p>
        </w:tc>
        <w:tc>
          <w:tcPr>
            <w:tcW w:w="885" w:type="dxa"/>
            <w:shd w:val="clear" w:color="auto" w:fill="FFFFFF"/>
          </w:tcPr>
          <w:p w14:paraId="4B2EF62F" w14:textId="77777777" w:rsidR="00AB392D" w:rsidRDefault="00AB392D" w:rsidP="00083C01">
            <w:pPr>
              <w:pStyle w:val="CETBodytext"/>
              <w:rPr>
                <w:lang w:val="en-GB"/>
              </w:rPr>
            </w:pPr>
            <w:r>
              <w:rPr>
                <w:lang w:val="en-GB"/>
              </w:rPr>
              <w:t xml:space="preserve">   33.49     </w:t>
            </w:r>
          </w:p>
          <w:p w14:paraId="25CCB981" w14:textId="77777777" w:rsidR="00AB392D" w:rsidRDefault="00AB392D" w:rsidP="00083C01">
            <w:pPr>
              <w:pStyle w:val="CETBodytext"/>
              <w:rPr>
                <w:lang w:val="en-GB"/>
              </w:rPr>
            </w:pPr>
          </w:p>
          <w:p w14:paraId="451D74B7" w14:textId="399D83F3" w:rsidR="00AB392D" w:rsidRPr="00B57B36" w:rsidRDefault="00AB392D" w:rsidP="00D61F91">
            <w:pPr>
              <w:pStyle w:val="CETBodytext"/>
              <w:rPr>
                <w:lang w:val="en-GB"/>
              </w:rPr>
            </w:pPr>
            <w:r>
              <w:rPr>
                <w:lang w:val="en-GB"/>
              </w:rPr>
              <w:t xml:space="preserve">   33.49                                                                                                                         </w:t>
            </w:r>
          </w:p>
        </w:tc>
        <w:tc>
          <w:tcPr>
            <w:tcW w:w="147" w:type="dxa"/>
            <w:shd w:val="clear" w:color="auto" w:fill="FFFFFF"/>
          </w:tcPr>
          <w:p w14:paraId="241FCA26" w14:textId="68C4FB50" w:rsidR="00AB392D" w:rsidRPr="00B57B36" w:rsidRDefault="00AB392D" w:rsidP="00D61F91">
            <w:pPr>
              <w:pStyle w:val="CETBodytext"/>
              <w:rPr>
                <w:lang w:val="en-GB"/>
              </w:rPr>
            </w:pPr>
          </w:p>
        </w:tc>
        <w:tc>
          <w:tcPr>
            <w:tcW w:w="1466" w:type="dxa"/>
            <w:shd w:val="clear" w:color="auto" w:fill="FFFFFF"/>
          </w:tcPr>
          <w:p w14:paraId="474C707A" w14:textId="77777777" w:rsidR="00AB392D" w:rsidRDefault="00AB392D" w:rsidP="00543A5A">
            <w:pPr>
              <w:pStyle w:val="CETBodytext"/>
              <w:ind w:left="-143" w:right="-1" w:firstLine="139"/>
              <w:rPr>
                <w:rFonts w:cs="Arial"/>
                <w:szCs w:val="18"/>
                <w:lang w:val="en-GB"/>
              </w:rPr>
            </w:pPr>
            <w:r>
              <w:rPr>
                <w:rFonts w:cs="Arial"/>
                <w:szCs w:val="18"/>
                <w:lang w:val="en-GB"/>
              </w:rPr>
              <w:t>25.18</w:t>
            </w:r>
          </w:p>
          <w:p w14:paraId="11163E8F" w14:textId="77777777" w:rsidR="00AB392D" w:rsidRDefault="00AB392D" w:rsidP="00543A5A">
            <w:pPr>
              <w:pStyle w:val="CETBodytext"/>
              <w:ind w:left="-143" w:right="-1" w:firstLine="139"/>
              <w:rPr>
                <w:rFonts w:cs="Arial"/>
                <w:szCs w:val="18"/>
                <w:lang w:val="en-GB"/>
              </w:rPr>
            </w:pPr>
          </w:p>
          <w:p w14:paraId="729ADAC2" w14:textId="6B1246DF" w:rsidR="00AB392D" w:rsidRPr="00B57B36" w:rsidRDefault="00AB392D" w:rsidP="00543A5A">
            <w:pPr>
              <w:pStyle w:val="CETBodytext"/>
              <w:ind w:left="-143" w:right="-1" w:firstLine="139"/>
              <w:rPr>
                <w:rFonts w:cs="Arial"/>
                <w:szCs w:val="18"/>
                <w:lang w:val="en-GB"/>
              </w:rPr>
            </w:pPr>
            <w:r>
              <w:rPr>
                <w:rFonts w:cs="Arial"/>
                <w:szCs w:val="18"/>
                <w:lang w:val="en-GB"/>
              </w:rPr>
              <w:t>25.18</w:t>
            </w:r>
          </w:p>
        </w:tc>
        <w:tc>
          <w:tcPr>
            <w:tcW w:w="1363" w:type="dxa"/>
            <w:shd w:val="clear" w:color="auto" w:fill="FFFFFF"/>
          </w:tcPr>
          <w:p w14:paraId="06E3CB14" w14:textId="77777777" w:rsidR="00AB392D" w:rsidRDefault="00AB392D" w:rsidP="00083C01">
            <w:pPr>
              <w:pStyle w:val="CETBodytext"/>
              <w:ind w:right="-1"/>
              <w:rPr>
                <w:rFonts w:cs="Arial"/>
                <w:szCs w:val="18"/>
                <w:lang w:val="en-GB"/>
              </w:rPr>
            </w:pPr>
            <w:r>
              <w:rPr>
                <w:rFonts w:cs="Arial"/>
                <w:szCs w:val="18"/>
                <w:lang w:val="en-GB"/>
              </w:rPr>
              <w:t xml:space="preserve">      57</w:t>
            </w:r>
          </w:p>
          <w:p w14:paraId="4E47801A" w14:textId="77777777" w:rsidR="00AB392D" w:rsidRDefault="00AB392D" w:rsidP="00083C01">
            <w:pPr>
              <w:pStyle w:val="CETBodytext"/>
              <w:ind w:right="-1"/>
              <w:rPr>
                <w:rFonts w:cs="Arial"/>
                <w:szCs w:val="18"/>
                <w:lang w:val="en-GB"/>
              </w:rPr>
            </w:pPr>
          </w:p>
          <w:p w14:paraId="39C74534" w14:textId="0D91D09F" w:rsidR="00AB392D" w:rsidRPr="00B57B36" w:rsidRDefault="00AB392D" w:rsidP="00083C01">
            <w:pPr>
              <w:pStyle w:val="CETBodytext"/>
              <w:ind w:right="-1"/>
              <w:rPr>
                <w:rFonts w:cs="Arial"/>
                <w:szCs w:val="18"/>
                <w:lang w:val="en-GB"/>
              </w:rPr>
            </w:pPr>
            <w:r>
              <w:rPr>
                <w:rFonts w:cs="Arial"/>
                <w:szCs w:val="18"/>
                <w:lang w:val="en-GB"/>
              </w:rPr>
              <w:t xml:space="preserve">      59</w:t>
            </w:r>
          </w:p>
        </w:tc>
        <w:tc>
          <w:tcPr>
            <w:tcW w:w="1595" w:type="dxa"/>
            <w:shd w:val="clear" w:color="auto" w:fill="FFFFFF"/>
          </w:tcPr>
          <w:p w14:paraId="12F9F2DA" w14:textId="77777777" w:rsidR="00AB392D" w:rsidRDefault="00AB392D" w:rsidP="00083C01">
            <w:pPr>
              <w:pStyle w:val="CETBodytext"/>
              <w:ind w:right="-1"/>
              <w:rPr>
                <w:rFonts w:cs="Arial"/>
                <w:szCs w:val="18"/>
                <w:lang w:val="en-GB"/>
              </w:rPr>
            </w:pPr>
            <w:r>
              <w:rPr>
                <w:rFonts w:cs="Arial"/>
                <w:szCs w:val="18"/>
                <w:lang w:val="en-GB"/>
              </w:rPr>
              <w:t>33.4419</w:t>
            </w:r>
          </w:p>
          <w:p w14:paraId="34420BDA" w14:textId="77777777" w:rsidR="00AB392D" w:rsidRDefault="00AB392D" w:rsidP="00083C01">
            <w:pPr>
              <w:pStyle w:val="CETBodytext"/>
              <w:ind w:right="-1"/>
              <w:rPr>
                <w:rFonts w:cs="Arial"/>
                <w:szCs w:val="18"/>
                <w:lang w:val="en-GB"/>
              </w:rPr>
            </w:pPr>
          </w:p>
          <w:p w14:paraId="24309855" w14:textId="0DFA469A" w:rsidR="00AB392D" w:rsidRDefault="00AB392D" w:rsidP="00083C01">
            <w:pPr>
              <w:pStyle w:val="CETBodytext"/>
              <w:ind w:right="-1"/>
              <w:rPr>
                <w:rFonts w:cs="Arial"/>
                <w:szCs w:val="18"/>
                <w:lang w:val="en-GB"/>
              </w:rPr>
            </w:pPr>
            <w:r>
              <w:rPr>
                <w:rFonts w:cs="Arial"/>
                <w:szCs w:val="18"/>
                <w:lang w:val="en-GB"/>
              </w:rPr>
              <w:t>34.6153</w:t>
            </w:r>
          </w:p>
        </w:tc>
      </w:tr>
    </w:tbl>
    <w:p w14:paraId="6E2DB62B" w14:textId="77777777" w:rsidR="00D7148D" w:rsidRDefault="00D7148D" w:rsidP="00206667">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p>
    <w:p w14:paraId="4E983BD2" w14:textId="73CD0EB2" w:rsidR="00E471AE" w:rsidRPr="005417B5" w:rsidRDefault="007A16F6" w:rsidP="00206667">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Pr>
          <w:noProof w:val="0"/>
          <w:lang w:val="en-US"/>
        </w:rPr>
        <w:t xml:space="preserve">Of the 10 samples taken, the highest percentage of carbon storage </w:t>
      </w:r>
      <w:r w:rsidR="008B7CB4">
        <w:rPr>
          <w:noProof w:val="0"/>
          <w:lang w:val="en-US"/>
        </w:rPr>
        <w:t xml:space="preserve">of carbon storage in the </w:t>
      </w:r>
      <w:proofErr w:type="gramStart"/>
      <w:r w:rsidR="008B7CB4">
        <w:rPr>
          <w:noProof w:val="0"/>
          <w:lang w:val="en-US"/>
        </w:rPr>
        <w:t>leaves</w:t>
      </w:r>
      <w:proofErr w:type="gramEnd"/>
      <w:r w:rsidR="008B7CB4">
        <w:rPr>
          <w:noProof w:val="0"/>
          <w:lang w:val="en-US"/>
        </w:rPr>
        <w:t xml:space="preserve"> </w:t>
      </w:r>
      <w:proofErr w:type="gramStart"/>
      <w:r w:rsidR="008B7CB4">
        <w:rPr>
          <w:noProof w:val="0"/>
          <w:lang w:val="en-US"/>
        </w:rPr>
        <w:t>ad</w:t>
      </w:r>
      <w:proofErr w:type="gramEnd"/>
      <w:r w:rsidR="008B7CB4">
        <w:rPr>
          <w:noProof w:val="0"/>
          <w:lang w:val="en-US"/>
        </w:rPr>
        <w:t xml:space="preserve"> roots of the Bolognesi and Divisoria area was 33.49, while the highest percentage of carbon stored in the fruits for Bolognesi and The Divisoria was 25.18. Therefore, the carbon storage achieved in the crop for the Bolognesi area was 33.4g and for Divisoria it was 34.6g.</w:t>
      </w:r>
    </w:p>
    <w:p w14:paraId="01DD7DEA" w14:textId="5BC68833" w:rsidR="004A5530" w:rsidRDefault="004A5530" w:rsidP="004A5530">
      <w:pPr>
        <w:pStyle w:val="CETTabletitle"/>
      </w:pPr>
      <w:r w:rsidRPr="00B57B36">
        <w:t xml:space="preserve">Table </w:t>
      </w:r>
      <w:r w:rsidR="00D7148D">
        <w:t>4</w:t>
      </w:r>
      <w:r w:rsidRPr="00B57B36">
        <w:t xml:space="preserve">: </w:t>
      </w:r>
      <w:r w:rsidR="000357BE">
        <w:t>Economic value of environmental services in soles</w:t>
      </w:r>
      <w:r w:rsidR="009E52F3" w:rsidRPr="009E52F3">
        <w:t xml:space="preserve"> (S/.) - Bolognesi </w:t>
      </w:r>
      <w:r w:rsidR="000357BE">
        <w:t>and the</w:t>
      </w:r>
      <w:r w:rsidR="009E52F3" w:rsidRPr="009E52F3">
        <w:t xml:space="preserve"> Divisoria</w:t>
      </w:r>
    </w:p>
    <w:tbl>
      <w:tblPr>
        <w:tblW w:w="6237"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701"/>
        <w:gridCol w:w="993"/>
        <w:gridCol w:w="1275"/>
        <w:gridCol w:w="1134"/>
        <w:gridCol w:w="1134"/>
      </w:tblGrid>
      <w:tr w:rsidR="00C27787" w:rsidRPr="00B57B36" w14:paraId="7FB0D838" w14:textId="77777777" w:rsidTr="00955E8E">
        <w:tc>
          <w:tcPr>
            <w:tcW w:w="1701" w:type="dxa"/>
            <w:tcBorders>
              <w:top w:val="single" w:sz="12" w:space="0" w:color="008000"/>
              <w:bottom w:val="single" w:sz="6" w:space="0" w:color="008000"/>
            </w:tcBorders>
            <w:shd w:val="clear" w:color="auto" w:fill="FFFFFF"/>
          </w:tcPr>
          <w:p w14:paraId="0EEEDF1B" w14:textId="77777777" w:rsidR="00C27787" w:rsidRPr="00B57B36" w:rsidRDefault="00C27787" w:rsidP="00083C01">
            <w:pPr>
              <w:pStyle w:val="CETBodytext"/>
              <w:rPr>
                <w:lang w:val="en-GB"/>
              </w:rPr>
            </w:pPr>
            <w:r>
              <w:rPr>
                <w:lang w:val="en-GB"/>
              </w:rPr>
              <w:t>Sample Location</w:t>
            </w:r>
            <w:r w:rsidRPr="00B57B36">
              <w:rPr>
                <w:lang w:val="en-GB"/>
              </w:rPr>
              <w:t xml:space="preserve"> </w:t>
            </w:r>
          </w:p>
        </w:tc>
        <w:tc>
          <w:tcPr>
            <w:tcW w:w="993" w:type="dxa"/>
            <w:tcBorders>
              <w:top w:val="single" w:sz="12" w:space="0" w:color="008000"/>
              <w:bottom w:val="single" w:sz="6" w:space="0" w:color="008000"/>
            </w:tcBorders>
            <w:shd w:val="clear" w:color="auto" w:fill="FFFFFF"/>
          </w:tcPr>
          <w:p w14:paraId="7CF1D025" w14:textId="1BA508C6" w:rsidR="00C27787" w:rsidRPr="00B57B36" w:rsidRDefault="00027FD0" w:rsidP="00083C01">
            <w:pPr>
              <w:pStyle w:val="CETBodytext"/>
              <w:rPr>
                <w:lang w:val="en-GB"/>
              </w:rPr>
            </w:pPr>
            <w:r>
              <w:rPr>
                <w:lang w:val="en-GB"/>
              </w:rPr>
              <w:t xml:space="preserve">  </w:t>
            </w:r>
            <w:r w:rsidR="00C27787">
              <w:rPr>
                <w:lang w:val="en-GB"/>
              </w:rPr>
              <w:t>Minimum</w:t>
            </w:r>
          </w:p>
        </w:tc>
        <w:tc>
          <w:tcPr>
            <w:tcW w:w="1275" w:type="dxa"/>
            <w:tcBorders>
              <w:top w:val="single" w:sz="12" w:space="0" w:color="008000"/>
              <w:bottom w:val="single" w:sz="6" w:space="0" w:color="008000"/>
            </w:tcBorders>
            <w:shd w:val="clear" w:color="auto" w:fill="FFFFFF"/>
          </w:tcPr>
          <w:p w14:paraId="63CB0444" w14:textId="330FAE6A" w:rsidR="00C27787" w:rsidRDefault="00C27787" w:rsidP="00ED53FD">
            <w:pPr>
              <w:pStyle w:val="CETBodytext"/>
              <w:ind w:right="146"/>
              <w:rPr>
                <w:lang w:val="en-GB"/>
              </w:rPr>
            </w:pPr>
            <w:r>
              <w:rPr>
                <w:lang w:val="en-GB"/>
              </w:rPr>
              <w:t xml:space="preserve">  </w:t>
            </w:r>
            <w:r>
              <w:rPr>
                <w:rFonts w:cs="Arial"/>
                <w:szCs w:val="18"/>
                <w:lang w:val="en-GB"/>
              </w:rPr>
              <w:t>Maximum</w:t>
            </w:r>
          </w:p>
          <w:p w14:paraId="7E6F8309" w14:textId="77777777" w:rsidR="00C27787" w:rsidRPr="00B57B36" w:rsidRDefault="00C27787" w:rsidP="00083C01">
            <w:pPr>
              <w:pStyle w:val="CETBodytext"/>
              <w:rPr>
                <w:lang w:val="en-GB"/>
              </w:rPr>
            </w:pPr>
          </w:p>
        </w:tc>
        <w:tc>
          <w:tcPr>
            <w:tcW w:w="1134" w:type="dxa"/>
            <w:tcBorders>
              <w:top w:val="single" w:sz="12" w:space="0" w:color="008000"/>
              <w:bottom w:val="single" w:sz="6" w:space="0" w:color="008000"/>
            </w:tcBorders>
            <w:shd w:val="clear" w:color="auto" w:fill="FFFFFF"/>
          </w:tcPr>
          <w:p w14:paraId="1702E469" w14:textId="40D41C1E" w:rsidR="00C27787" w:rsidRPr="00B57B36" w:rsidRDefault="00027FD0" w:rsidP="00ED53FD">
            <w:pPr>
              <w:pStyle w:val="CETBodytext"/>
              <w:ind w:left="-146" w:right="-1"/>
              <w:rPr>
                <w:rFonts w:cs="Arial"/>
                <w:szCs w:val="18"/>
                <w:lang w:val="en-GB"/>
              </w:rPr>
            </w:pPr>
            <w:proofErr w:type="spellStart"/>
            <w:r>
              <w:rPr>
                <w:rFonts w:cs="Arial"/>
                <w:szCs w:val="18"/>
                <w:lang w:val="en-GB"/>
              </w:rPr>
              <w:t>M</w:t>
            </w:r>
            <w:r w:rsidR="00ED53FD">
              <w:rPr>
                <w:rFonts w:cs="Arial"/>
                <w:szCs w:val="18"/>
                <w:lang w:val="en-GB"/>
              </w:rPr>
              <w:t>M</w:t>
            </w:r>
            <w:r>
              <w:rPr>
                <w:rFonts w:cs="Arial"/>
                <w:szCs w:val="18"/>
                <w:lang w:val="en-GB"/>
              </w:rPr>
              <w:t>edia</w:t>
            </w:r>
            <w:proofErr w:type="spellEnd"/>
          </w:p>
        </w:tc>
        <w:tc>
          <w:tcPr>
            <w:tcW w:w="1134" w:type="dxa"/>
            <w:tcBorders>
              <w:top w:val="single" w:sz="12" w:space="0" w:color="008000"/>
              <w:bottom w:val="single" w:sz="6" w:space="0" w:color="008000"/>
            </w:tcBorders>
            <w:shd w:val="clear" w:color="auto" w:fill="FFFFFF"/>
          </w:tcPr>
          <w:p w14:paraId="65015899" w14:textId="77777777" w:rsidR="00C27787" w:rsidRPr="00B57B36" w:rsidRDefault="00C27787" w:rsidP="00083C01">
            <w:pPr>
              <w:pStyle w:val="CETBodytext"/>
              <w:ind w:right="-1"/>
              <w:rPr>
                <w:rFonts w:cs="Arial"/>
                <w:szCs w:val="18"/>
                <w:lang w:val="en-GB"/>
              </w:rPr>
            </w:pPr>
          </w:p>
        </w:tc>
      </w:tr>
      <w:tr w:rsidR="00C27787" w:rsidRPr="00B57B36" w14:paraId="05C148F0" w14:textId="77777777" w:rsidTr="00955E8E">
        <w:tc>
          <w:tcPr>
            <w:tcW w:w="1701" w:type="dxa"/>
            <w:shd w:val="clear" w:color="auto" w:fill="FFFFFF"/>
          </w:tcPr>
          <w:p w14:paraId="3E63D91A" w14:textId="616B0085" w:rsidR="00C27787" w:rsidRDefault="00027FD0" w:rsidP="00083C01">
            <w:pPr>
              <w:pStyle w:val="CETBodytext"/>
              <w:rPr>
                <w:lang w:val="en-GB"/>
              </w:rPr>
            </w:pPr>
            <w:r>
              <w:rPr>
                <w:lang w:val="en-GB"/>
              </w:rPr>
              <w:t>Economic value of</w:t>
            </w:r>
          </w:p>
          <w:p w14:paraId="31645183" w14:textId="77777777" w:rsidR="00027FD0" w:rsidRDefault="00027FD0" w:rsidP="00083C01">
            <w:pPr>
              <w:pStyle w:val="CETBodytext"/>
              <w:rPr>
                <w:lang w:val="en-GB"/>
              </w:rPr>
            </w:pPr>
            <w:r>
              <w:rPr>
                <w:lang w:val="en-GB"/>
              </w:rPr>
              <w:t xml:space="preserve">Bolognesi </w:t>
            </w:r>
          </w:p>
          <w:p w14:paraId="5166446A" w14:textId="265F4EF2" w:rsidR="00027FD0" w:rsidRDefault="00027FD0" w:rsidP="00083C01">
            <w:pPr>
              <w:pStyle w:val="CETBodytext"/>
              <w:rPr>
                <w:lang w:val="en-GB"/>
              </w:rPr>
            </w:pPr>
            <w:proofErr w:type="gramStart"/>
            <w:r>
              <w:rPr>
                <w:lang w:val="en-GB"/>
              </w:rPr>
              <w:t>is</w:t>
            </w:r>
            <w:proofErr w:type="gramEnd"/>
            <w:r>
              <w:rPr>
                <w:lang w:val="en-GB"/>
              </w:rPr>
              <w:t xml:space="preserve"> environmental services</w:t>
            </w:r>
          </w:p>
          <w:p w14:paraId="077D4E3A" w14:textId="77777777" w:rsidR="00C27787" w:rsidRDefault="00C27787" w:rsidP="00083C01">
            <w:pPr>
              <w:pStyle w:val="CETBodytext"/>
              <w:rPr>
                <w:lang w:val="en-GB"/>
              </w:rPr>
            </w:pPr>
          </w:p>
          <w:p w14:paraId="316D6940" w14:textId="77777777" w:rsidR="00027FD0" w:rsidRDefault="00027FD0" w:rsidP="00027FD0">
            <w:pPr>
              <w:pStyle w:val="CETBodytext"/>
              <w:rPr>
                <w:lang w:val="en-GB"/>
              </w:rPr>
            </w:pPr>
            <w:r>
              <w:rPr>
                <w:lang w:val="en-GB"/>
              </w:rPr>
              <w:t>Economic value of</w:t>
            </w:r>
          </w:p>
          <w:p w14:paraId="4D6B9916" w14:textId="4F330F42" w:rsidR="00027FD0" w:rsidRDefault="00027FD0" w:rsidP="00027FD0">
            <w:pPr>
              <w:pStyle w:val="CETBodytext"/>
              <w:rPr>
                <w:lang w:val="en-GB"/>
              </w:rPr>
            </w:pPr>
            <w:r>
              <w:rPr>
                <w:lang w:val="en-GB"/>
              </w:rPr>
              <w:t xml:space="preserve">The Divisoria </w:t>
            </w:r>
          </w:p>
          <w:p w14:paraId="6D2EC449" w14:textId="646D162F" w:rsidR="00C27787" w:rsidRPr="00B57B36" w:rsidRDefault="00027FD0" w:rsidP="00083C01">
            <w:pPr>
              <w:pStyle w:val="CETBodytext"/>
              <w:rPr>
                <w:lang w:val="en-GB"/>
              </w:rPr>
            </w:pPr>
            <w:proofErr w:type="gramStart"/>
            <w:r>
              <w:rPr>
                <w:lang w:val="en-GB"/>
              </w:rPr>
              <w:t>is</w:t>
            </w:r>
            <w:proofErr w:type="gramEnd"/>
            <w:r>
              <w:rPr>
                <w:lang w:val="en-GB"/>
              </w:rPr>
              <w:t xml:space="preserve"> environmental services</w:t>
            </w:r>
          </w:p>
        </w:tc>
        <w:tc>
          <w:tcPr>
            <w:tcW w:w="993" w:type="dxa"/>
            <w:shd w:val="clear" w:color="auto" w:fill="FFFFFF"/>
          </w:tcPr>
          <w:p w14:paraId="362D0DB8" w14:textId="22EEB0E9" w:rsidR="00C27787" w:rsidRDefault="00027FD0" w:rsidP="00083C01">
            <w:pPr>
              <w:pStyle w:val="CETBodytext"/>
              <w:rPr>
                <w:lang w:val="en-GB"/>
              </w:rPr>
            </w:pPr>
            <w:r>
              <w:rPr>
                <w:lang w:val="en-GB"/>
              </w:rPr>
              <w:t xml:space="preserve">   1.425</w:t>
            </w:r>
            <w:r w:rsidR="00C27787">
              <w:rPr>
                <w:lang w:val="en-GB"/>
              </w:rPr>
              <w:t xml:space="preserve">   </w:t>
            </w:r>
            <w:r w:rsidR="00ED53FD">
              <w:rPr>
                <w:lang w:val="en-GB"/>
              </w:rPr>
              <w:t xml:space="preserve">     </w:t>
            </w:r>
            <w:r w:rsidR="00C27787">
              <w:rPr>
                <w:lang w:val="en-GB"/>
              </w:rPr>
              <w:t xml:space="preserve">                            </w:t>
            </w:r>
          </w:p>
          <w:p w14:paraId="492E2EDB" w14:textId="61888D92" w:rsidR="00027FD0" w:rsidRDefault="00027FD0" w:rsidP="00083C01">
            <w:pPr>
              <w:pStyle w:val="CETBodytext"/>
              <w:rPr>
                <w:lang w:val="en-GB"/>
              </w:rPr>
            </w:pPr>
          </w:p>
          <w:p w14:paraId="1F3F4F65" w14:textId="77777777" w:rsidR="00027FD0" w:rsidRDefault="00027FD0" w:rsidP="00083C01">
            <w:pPr>
              <w:pStyle w:val="CETBodytext"/>
              <w:rPr>
                <w:lang w:val="en-GB"/>
              </w:rPr>
            </w:pPr>
          </w:p>
          <w:p w14:paraId="50B37D7C" w14:textId="77777777" w:rsidR="00027FD0" w:rsidRDefault="00027FD0" w:rsidP="00083C01">
            <w:pPr>
              <w:pStyle w:val="CETBodytext"/>
              <w:rPr>
                <w:lang w:val="en-GB"/>
              </w:rPr>
            </w:pPr>
          </w:p>
          <w:p w14:paraId="79742694" w14:textId="77777777" w:rsidR="00C27787" w:rsidRDefault="00C27787" w:rsidP="00083C01">
            <w:pPr>
              <w:pStyle w:val="CETBodytext"/>
              <w:rPr>
                <w:lang w:val="en-GB"/>
              </w:rPr>
            </w:pPr>
          </w:p>
          <w:p w14:paraId="77F8FAB1" w14:textId="2DEC8B00" w:rsidR="00C27787" w:rsidRPr="00B57B36" w:rsidRDefault="00ED53FD" w:rsidP="00ED53FD">
            <w:pPr>
              <w:pStyle w:val="CETBodytext"/>
              <w:tabs>
                <w:tab w:val="left" w:pos="143"/>
              </w:tabs>
              <w:ind w:right="-711"/>
              <w:rPr>
                <w:lang w:val="en-GB"/>
              </w:rPr>
            </w:pPr>
            <w:r>
              <w:rPr>
                <w:lang w:val="en-GB"/>
              </w:rPr>
              <w:t xml:space="preserve">  1.503          4.0                           </w:t>
            </w:r>
            <w:r w:rsidR="00C27787">
              <w:rPr>
                <w:lang w:val="en-GB"/>
              </w:rPr>
              <w:t xml:space="preserve">                                                                  </w:t>
            </w:r>
          </w:p>
        </w:tc>
        <w:tc>
          <w:tcPr>
            <w:tcW w:w="1275" w:type="dxa"/>
            <w:shd w:val="clear" w:color="auto" w:fill="FFFFFF"/>
          </w:tcPr>
          <w:p w14:paraId="25B64D1E" w14:textId="56292A10" w:rsidR="00C27787" w:rsidRDefault="00C27787" w:rsidP="00083C01">
            <w:pPr>
              <w:pStyle w:val="CETBodytext"/>
              <w:rPr>
                <w:lang w:val="en-GB"/>
              </w:rPr>
            </w:pPr>
            <w:r>
              <w:rPr>
                <w:lang w:val="en-GB"/>
              </w:rPr>
              <w:t xml:space="preserve">  </w:t>
            </w:r>
            <w:r w:rsidR="00290B90">
              <w:rPr>
                <w:lang w:val="en-GB"/>
              </w:rPr>
              <w:t xml:space="preserve"> </w:t>
            </w:r>
            <w:r w:rsidR="00027FD0">
              <w:rPr>
                <w:lang w:val="en-GB"/>
              </w:rPr>
              <w:t xml:space="preserve">4.474                  </w:t>
            </w:r>
          </w:p>
          <w:p w14:paraId="443AE721" w14:textId="78900B32" w:rsidR="00C27787" w:rsidRDefault="00027FD0" w:rsidP="00083C01">
            <w:pPr>
              <w:pStyle w:val="CETBodytext"/>
              <w:rPr>
                <w:lang w:val="en-GB"/>
              </w:rPr>
            </w:pPr>
            <w:r>
              <w:rPr>
                <w:lang w:val="en-GB"/>
              </w:rPr>
              <w:t xml:space="preserve">                                </w:t>
            </w:r>
          </w:p>
          <w:p w14:paraId="22EFC306" w14:textId="77777777" w:rsidR="00027FD0" w:rsidRDefault="00027FD0" w:rsidP="00083C01">
            <w:pPr>
              <w:pStyle w:val="CETBodytext"/>
              <w:rPr>
                <w:lang w:val="en-GB"/>
              </w:rPr>
            </w:pPr>
          </w:p>
          <w:p w14:paraId="67283378" w14:textId="77777777" w:rsidR="00027FD0" w:rsidRDefault="00027FD0" w:rsidP="00083C01">
            <w:pPr>
              <w:pStyle w:val="CETBodytext"/>
              <w:rPr>
                <w:lang w:val="en-GB"/>
              </w:rPr>
            </w:pPr>
          </w:p>
          <w:p w14:paraId="22C1BE06" w14:textId="23CE92CB" w:rsidR="00C27787" w:rsidRDefault="00C27787" w:rsidP="00083C01">
            <w:pPr>
              <w:pStyle w:val="CETBodytext"/>
              <w:rPr>
                <w:lang w:val="en-GB"/>
              </w:rPr>
            </w:pPr>
            <w:r>
              <w:rPr>
                <w:lang w:val="en-GB"/>
              </w:rPr>
              <w:t xml:space="preserve">       </w:t>
            </w:r>
          </w:p>
          <w:p w14:paraId="11DD8113" w14:textId="26BA05B2" w:rsidR="00C27787" w:rsidRPr="00B57B36" w:rsidRDefault="00ED53FD" w:rsidP="00955E8E">
            <w:pPr>
              <w:pStyle w:val="CETBodytext"/>
              <w:ind w:left="285" w:hanging="285"/>
              <w:rPr>
                <w:lang w:val="en-GB"/>
              </w:rPr>
            </w:pPr>
            <w:r>
              <w:rPr>
                <w:lang w:val="en-GB"/>
              </w:rPr>
              <w:t>4.725</w:t>
            </w:r>
            <w:r w:rsidR="00955E8E">
              <w:rPr>
                <w:lang w:val="en-GB"/>
              </w:rPr>
              <w:t xml:space="preserve">   </w:t>
            </w:r>
            <w:r>
              <w:rPr>
                <w:lang w:val="en-GB"/>
              </w:rPr>
              <w:t xml:space="preserve">3.37880                     </w:t>
            </w:r>
            <w:r w:rsidR="00C27787">
              <w:rPr>
                <w:lang w:val="en-GB"/>
              </w:rPr>
              <w:t xml:space="preserve">      </w:t>
            </w:r>
          </w:p>
        </w:tc>
        <w:tc>
          <w:tcPr>
            <w:tcW w:w="1134" w:type="dxa"/>
            <w:shd w:val="clear" w:color="auto" w:fill="FFFFFF"/>
          </w:tcPr>
          <w:p w14:paraId="79AD682D" w14:textId="6759F72A" w:rsidR="00C27787" w:rsidRPr="00B57B36" w:rsidRDefault="00027FD0" w:rsidP="00955E8E">
            <w:pPr>
              <w:pStyle w:val="CETBodytext"/>
              <w:ind w:right="-1"/>
              <w:rPr>
                <w:rFonts w:cs="Arial"/>
                <w:szCs w:val="18"/>
                <w:lang w:val="en-GB"/>
              </w:rPr>
            </w:pPr>
            <w:r>
              <w:rPr>
                <w:rFonts w:cs="Arial"/>
                <w:szCs w:val="18"/>
                <w:lang w:val="en-GB"/>
              </w:rPr>
              <w:t>3.59865</w:t>
            </w:r>
          </w:p>
        </w:tc>
        <w:tc>
          <w:tcPr>
            <w:tcW w:w="1134" w:type="dxa"/>
            <w:shd w:val="clear" w:color="auto" w:fill="FFFFFF"/>
          </w:tcPr>
          <w:p w14:paraId="0C8281FC" w14:textId="77777777" w:rsidR="00C27787" w:rsidRPr="00B57B36" w:rsidRDefault="00C27787" w:rsidP="00083C01">
            <w:pPr>
              <w:pStyle w:val="CETBodytext"/>
              <w:ind w:right="-1"/>
              <w:rPr>
                <w:rFonts w:cs="Arial"/>
                <w:szCs w:val="18"/>
                <w:lang w:val="en-GB"/>
              </w:rPr>
            </w:pPr>
          </w:p>
        </w:tc>
      </w:tr>
    </w:tbl>
    <w:p w14:paraId="207527CF" w14:textId="77777777" w:rsidR="00ED53FD" w:rsidRDefault="00ED53FD" w:rsidP="00206667">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p>
    <w:p w14:paraId="0B87538F" w14:textId="46615E8D" w:rsidR="00E24A0A" w:rsidRPr="00E24A0A" w:rsidRDefault="00E24A0A" w:rsidP="00ED53FD">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sidRPr="00E24A0A">
        <w:rPr>
          <w:noProof w:val="0"/>
          <w:lang w:val="en-US"/>
        </w:rPr>
        <w:t>The economic value of the environmental services in the Bolognesi area was obtained with a minimum value of 1,425 soles and a maximum of 4,474 soles in the value of the environmental service, obtaining an average of 3,598,650 soles, while in the Divisoria area, a minimum value of 1,503 soles and a maximum of 4,725 soles were obtained in the value of the environmental service, obtaining an average of 3,378,800 soles.</w:t>
      </w:r>
    </w:p>
    <w:p w14:paraId="4FB5A593" w14:textId="77777777" w:rsidR="009E52F3" w:rsidRDefault="009E52F3" w:rsidP="00206667">
      <w:pPr>
        <w:pStyle w:val="CETBodytext"/>
      </w:pPr>
    </w:p>
    <w:p w14:paraId="035673EC" w14:textId="77777777" w:rsidR="00E24A0A" w:rsidRDefault="00E24A0A" w:rsidP="00206667">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sidRPr="00E24A0A">
        <w:rPr>
          <w:noProof w:val="0"/>
          <w:lang w:val="en-US"/>
        </w:rPr>
        <w:t>According to Table 3, the values ​​were established based on the criterion of multiplying the amount of carbon in the crop (fruits and leaves) by the price of carbon in soles (S/</w:t>
      </w:r>
      <w:proofErr w:type="gramStart"/>
      <w:r w:rsidRPr="00E24A0A">
        <w:rPr>
          <w:noProof w:val="0"/>
          <w:lang w:val="en-US"/>
        </w:rPr>
        <w:t>.27.3</w:t>
      </w:r>
      <w:proofErr w:type="gramEnd"/>
      <w:r w:rsidRPr="00E24A0A">
        <w:rPr>
          <w:noProof w:val="0"/>
          <w:lang w:val="en-US"/>
        </w:rPr>
        <w:t>).</w:t>
      </w:r>
    </w:p>
    <w:p w14:paraId="6EF8403F" w14:textId="77777777" w:rsidR="006B0687" w:rsidRDefault="006B0687" w:rsidP="00206667">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p>
    <w:p w14:paraId="5D5ACC6C" w14:textId="77777777" w:rsidR="006B0687" w:rsidRPr="00B57B36" w:rsidRDefault="006B0687" w:rsidP="006B0687">
      <w:pPr>
        <w:pStyle w:val="CETAcknowledgementstitle"/>
      </w:pPr>
      <w:bookmarkStart w:id="4" w:name="_Hlk225489698"/>
      <w:r w:rsidRPr="00B57B36">
        <w:t>Acknowledgments</w:t>
      </w:r>
    </w:p>
    <w:bookmarkEnd w:id="4"/>
    <w:p w14:paraId="6D4A6691" w14:textId="79446478" w:rsidR="006B0687" w:rsidRPr="00E24A0A" w:rsidRDefault="006B0687" w:rsidP="00206667">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Pr>
          <w:noProof w:val="0"/>
          <w:lang w:val="en-US"/>
        </w:rPr>
        <w:t>Th</w:t>
      </w:r>
    </w:p>
    <w:p w14:paraId="6DCA62C8" w14:textId="18CBDFFF" w:rsidR="00AB39DD" w:rsidRPr="006B0687" w:rsidRDefault="00AB39DD" w:rsidP="00AB39DD">
      <w:pPr>
        <w:pStyle w:val="HTMLconformatoprevio"/>
        <w:shd w:val="clear" w:color="auto" w:fill="F8F9FA"/>
        <w:spacing w:line="540" w:lineRule="atLeast"/>
        <w:rPr>
          <w:rFonts w:ascii="Arial" w:hAnsi="Arial" w:cs="Times New Roman"/>
          <w:b/>
          <w:noProof w:val="0"/>
          <w:lang w:val="en-US"/>
        </w:rPr>
      </w:pPr>
      <w:r w:rsidRPr="006B0687">
        <w:rPr>
          <w:rFonts w:ascii="Arial" w:hAnsi="Arial" w:cs="Times New Roman"/>
          <w:b/>
          <w:noProof w:val="0"/>
          <w:lang w:val="en-US"/>
        </w:rPr>
        <w:t>Conclusions</w:t>
      </w:r>
    </w:p>
    <w:p w14:paraId="40D0BB9A" w14:textId="77777777" w:rsidR="00983759" w:rsidRDefault="00983759" w:rsidP="00EC1780">
      <w:pPr>
        <w:pStyle w:val="CETBodytext"/>
        <w:rPr>
          <w:bCs/>
          <w:sz w:val="20"/>
        </w:rPr>
      </w:pPr>
    </w:p>
    <w:p w14:paraId="492226B1" w14:textId="14AA1CD5" w:rsidR="00983759" w:rsidRDefault="00C43E3F" w:rsidP="0046739F">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r w:rsidRPr="00C43E3F">
        <w:rPr>
          <w:noProof w:val="0"/>
          <w:lang w:val="en-US"/>
        </w:rPr>
        <w:t>The agroforestry system does not significantly impact environmental services with reference to carbon sequestration capacity. This could be explained by the fact that the agroforestry system was not uniform in terms of shade percentage, and the crop taken as a sample did not have continuous monitoring that would allow for its optimal care.</w:t>
      </w:r>
    </w:p>
    <w:p w14:paraId="4DAB89E3" w14:textId="77777777" w:rsidR="0046739F" w:rsidRPr="0046739F" w:rsidRDefault="0046739F" w:rsidP="0046739F">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val="0"/>
          <w:lang w:val="en-US"/>
        </w:rPr>
      </w:pPr>
    </w:p>
    <w:p w14:paraId="443D5444" w14:textId="77777777" w:rsidR="00C43E3F" w:rsidRPr="00C43E3F" w:rsidRDefault="00C43E3F" w:rsidP="00C43E3F">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noProof w:val="0"/>
          <w:lang w:val="en-US"/>
        </w:rPr>
      </w:pPr>
      <w:r w:rsidRPr="00C43E3F">
        <w:rPr>
          <w:noProof w:val="0"/>
          <w:lang w:val="en-US"/>
        </w:rPr>
        <w:t>The agroforestry system does not significantly affect environmental services with reference to the amount of organic carbon in the soil because it was sampled at a depth of 0-10 cm. In addition, it was found that the traditional system in the Divisoria area had biofertilizer that improves drainage, retains moisture and aerates the substrate.</w:t>
      </w:r>
    </w:p>
    <w:p w14:paraId="46120294" w14:textId="77777777" w:rsidR="0046739F" w:rsidRDefault="0046739F" w:rsidP="00AB39DD">
      <w:pPr>
        <w:pStyle w:val="CETBodytext"/>
      </w:pPr>
    </w:p>
    <w:p w14:paraId="6BBF0692" w14:textId="48D59DC2" w:rsidR="00AB39DD" w:rsidRPr="00AB39DD" w:rsidRDefault="00AB39DD" w:rsidP="00AB39DD">
      <w:pPr>
        <w:pStyle w:val="CETBodytext"/>
      </w:pPr>
      <w:r w:rsidRPr="00AB39DD">
        <w:t xml:space="preserve">The agroforestry system does not significantly impact environmental services with reference to the economic value of environmental services, since the stored carbon was minimal, generating a limited profit margin </w:t>
      </w:r>
      <w:proofErr w:type="spellStart"/>
      <w:r w:rsidRPr="00AB39DD">
        <w:t>icarbon</w:t>
      </w:r>
      <w:proofErr w:type="spellEnd"/>
      <w:r w:rsidRPr="00AB39DD">
        <w:t xml:space="preserve"> payments.</w:t>
      </w:r>
    </w:p>
    <w:p w14:paraId="77292D1E" w14:textId="77777777" w:rsidR="0046739F" w:rsidRDefault="0046739F" w:rsidP="00E24A0A">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noProof w:val="0"/>
          <w:lang w:val="en-US"/>
        </w:rPr>
      </w:pPr>
    </w:p>
    <w:p w14:paraId="7623109C" w14:textId="3BF9BF35" w:rsidR="00B44123" w:rsidRDefault="00AB39DD" w:rsidP="00E24A0A">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noProof w:val="0"/>
          <w:lang w:val="en-US"/>
        </w:rPr>
      </w:pPr>
      <w:r w:rsidRPr="00AB39DD">
        <w:rPr>
          <w:noProof w:val="0"/>
          <w:lang w:val="en-US"/>
        </w:rPr>
        <w:t>Since there are factors such as the age of the crop, the distance between associated crops, humidity, among others that can affect the validity of the results</w:t>
      </w:r>
    </w:p>
    <w:p w14:paraId="36B9BC57" w14:textId="77777777" w:rsidR="006B0687" w:rsidRDefault="006B0687" w:rsidP="00E24A0A">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noProof w:val="0"/>
          <w:lang w:val="en-US"/>
        </w:rPr>
      </w:pPr>
    </w:p>
    <w:p w14:paraId="7A644A12" w14:textId="77777777" w:rsidR="006B0687" w:rsidRPr="00B57B36" w:rsidRDefault="006B0687" w:rsidP="006B0687">
      <w:pPr>
        <w:pStyle w:val="CETAcknowledgementstitle"/>
      </w:pPr>
      <w:r w:rsidRPr="00B57B36">
        <w:t>Acknowledgments</w:t>
      </w:r>
    </w:p>
    <w:p w14:paraId="237C80C2" w14:textId="69DF2AD5" w:rsidR="006B0687" w:rsidRPr="00E24A0A" w:rsidRDefault="000143DF" w:rsidP="00E24A0A">
      <w:pPr>
        <w:shd w:val="clear" w:color="auto" w:fill="F8F9FA"/>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noProof w:val="0"/>
          <w:lang w:val="en-US"/>
        </w:rPr>
      </w:pPr>
      <w:r>
        <w:rPr>
          <w:noProof w:val="0"/>
          <w:lang w:val="en-US"/>
        </w:rPr>
        <w:t>The authors wish to thank the National University of Callao for its support.</w:t>
      </w:r>
    </w:p>
    <w:p w14:paraId="5F730761" w14:textId="0B280472" w:rsidR="00C43E3F" w:rsidRPr="006B0687" w:rsidRDefault="00C43E3F" w:rsidP="00C43E3F">
      <w:pPr>
        <w:pStyle w:val="HTMLconformatoprevio"/>
        <w:shd w:val="clear" w:color="auto" w:fill="F8F9FA"/>
        <w:spacing w:line="540" w:lineRule="atLeast"/>
        <w:rPr>
          <w:rFonts w:ascii="Arial" w:hAnsi="Arial" w:cs="Times New Roman"/>
          <w:b/>
          <w:noProof w:val="0"/>
          <w:lang w:val="en-US"/>
        </w:rPr>
      </w:pPr>
      <w:r w:rsidRPr="006B0687">
        <w:rPr>
          <w:rFonts w:ascii="Arial" w:hAnsi="Arial" w:cs="Times New Roman"/>
          <w:b/>
          <w:noProof w:val="0"/>
          <w:lang w:val="en-US"/>
        </w:rPr>
        <w:t>References</w:t>
      </w:r>
    </w:p>
    <w:p w14:paraId="3C8838B1" w14:textId="77777777" w:rsidR="00621746" w:rsidRDefault="00621746" w:rsidP="00E2783D">
      <w:pPr>
        <w:pStyle w:val="CETBodytext"/>
        <w:rPr>
          <w:b/>
          <w:sz w:val="20"/>
        </w:rPr>
      </w:pPr>
    </w:p>
    <w:p w14:paraId="02C4822F" w14:textId="4585673A" w:rsidR="00E2783D" w:rsidRPr="005044B7" w:rsidRDefault="00E2783D" w:rsidP="00621746">
      <w:pPr>
        <w:pStyle w:val="CETBodytext"/>
        <w:rPr>
          <w:lang w:val="en-GB"/>
        </w:rPr>
      </w:pPr>
      <w:bookmarkStart w:id="5" w:name="_Hlk225493442"/>
      <w:r w:rsidRPr="005044B7">
        <w:rPr>
          <w:lang w:val="en-GB"/>
        </w:rPr>
        <w:t>Gonzales</w:t>
      </w:r>
      <w:r w:rsidR="00621746">
        <w:rPr>
          <w:lang w:val="en-GB"/>
        </w:rPr>
        <w:t>. C.</w:t>
      </w:r>
      <w:r w:rsidRPr="005044B7">
        <w:rPr>
          <w:lang w:val="en-GB"/>
        </w:rPr>
        <w:t xml:space="preserve">, 2020, Climate change mitigation actions in coffee agroforestry systems of Tercer Frente, Santiago de Cuba, Cuban </w:t>
      </w:r>
      <w:proofErr w:type="spellStart"/>
      <w:r w:rsidRPr="005044B7">
        <w:rPr>
          <w:lang w:val="en-GB"/>
        </w:rPr>
        <w:t>Center</w:t>
      </w:r>
      <w:proofErr w:type="spellEnd"/>
      <w:r w:rsidRPr="005044B7">
        <w:rPr>
          <w:lang w:val="en-GB"/>
        </w:rPr>
        <w:t xml:space="preserve"> for Information and Technological Management</w:t>
      </w:r>
    </w:p>
    <w:p w14:paraId="69A49D63" w14:textId="360D62EA" w:rsidR="005044B7" w:rsidRPr="002E4201" w:rsidRDefault="000913F1" w:rsidP="00621746">
      <w:pPr>
        <w:shd w:val="clear" w:color="auto" w:fill="FFFFFF"/>
        <w:tabs>
          <w:tab w:val="clear" w:pos="7100"/>
        </w:tabs>
        <w:spacing w:line="240" w:lineRule="auto"/>
        <w:rPr>
          <w:lang w:val="en-US"/>
        </w:rPr>
      </w:pPr>
      <w:r w:rsidRPr="002E4201">
        <w:rPr>
          <w:lang w:val="en-US"/>
        </w:rPr>
        <w:t>Murphy</w:t>
      </w:r>
      <w:r w:rsidR="00621746" w:rsidRPr="002E4201">
        <w:rPr>
          <w:lang w:val="en-US"/>
        </w:rPr>
        <w:t>. D.,</w:t>
      </w:r>
      <w:r w:rsidRPr="002E4201">
        <w:rPr>
          <w:lang w:val="en-US"/>
        </w:rPr>
        <w:t xml:space="preserve"> 2025, </w:t>
      </w:r>
      <w:r w:rsidR="005044B7" w:rsidRPr="002E4201">
        <w:rPr>
          <w:lang w:val="en-US"/>
        </w:rPr>
        <w:t>Carbon sequestration for global climate change mitigation: An overview of strategies and improved roles for perennial crops</w:t>
      </w:r>
      <w:r w:rsidR="00A360C4" w:rsidRPr="002E4201">
        <w:rPr>
          <w:lang w:val="en-US"/>
        </w:rPr>
        <w:t xml:space="preserve">, </w:t>
      </w:r>
      <w:r w:rsidR="005044B7" w:rsidRPr="002E4201">
        <w:rPr>
          <w:lang w:val="en-US"/>
        </w:rPr>
        <w:t>University of South Wales</w:t>
      </w:r>
    </w:p>
    <w:p w14:paraId="5AF9E856" w14:textId="77777777" w:rsidR="006B0687" w:rsidRDefault="006B0687" w:rsidP="00621746">
      <w:pPr>
        <w:pStyle w:val="CETBodytext"/>
        <w:rPr>
          <w:lang w:val="en-GB"/>
        </w:rPr>
      </w:pPr>
      <w:r w:rsidRPr="006440D0">
        <w:rPr>
          <w:lang w:val="en-GB"/>
        </w:rPr>
        <w:t>Digital Documentation Functional Group</w:t>
      </w:r>
      <w:r>
        <w:rPr>
          <w:lang w:val="en-GB"/>
        </w:rPr>
        <w:t xml:space="preserve">, 2022, </w:t>
      </w:r>
      <w:r w:rsidRPr="006440D0">
        <w:rPr>
          <w:lang w:val="en-GB"/>
        </w:rPr>
        <w:t>Environmental Services and Carbon Sequestration in the Amazon</w:t>
      </w:r>
    </w:p>
    <w:p w14:paraId="1BC57D88" w14:textId="77777777" w:rsidR="0044203C" w:rsidRDefault="0044203C" w:rsidP="00621746">
      <w:pPr>
        <w:pStyle w:val="CETBodytext"/>
        <w:rPr>
          <w:lang w:val="en-GB"/>
        </w:rPr>
      </w:pPr>
      <w:r>
        <w:rPr>
          <w:lang w:val="en-GB"/>
        </w:rPr>
        <w:t>ICRAF,2011.</w:t>
      </w:r>
      <w:r w:rsidRPr="0044203C">
        <w:t xml:space="preserve"> </w:t>
      </w:r>
      <w:r w:rsidRPr="0044203C">
        <w:rPr>
          <w:lang w:val="en-GB"/>
        </w:rPr>
        <w:t xml:space="preserve">Intergovernmental Panel on Climate Change. 2001 Synthesis Report. IPCC Third Assessment </w:t>
      </w:r>
    </w:p>
    <w:p w14:paraId="04F62A29" w14:textId="637A4765" w:rsidR="00470794" w:rsidRDefault="00470794" w:rsidP="00621746">
      <w:pPr>
        <w:pStyle w:val="CETBodytext"/>
        <w:rPr>
          <w:lang w:val="en-GB"/>
        </w:rPr>
      </w:pPr>
      <w:proofErr w:type="spellStart"/>
      <w:r>
        <w:rPr>
          <w:lang w:val="en-GB"/>
        </w:rPr>
        <w:t>Jezzer</w:t>
      </w:r>
      <w:proofErr w:type="spellEnd"/>
      <w:r>
        <w:rPr>
          <w:lang w:val="en-GB"/>
        </w:rPr>
        <w:t xml:space="preserve"> R, </w:t>
      </w:r>
      <w:proofErr w:type="spellStart"/>
      <w:r>
        <w:rPr>
          <w:lang w:val="en-GB"/>
        </w:rPr>
        <w:t>Werweii</w:t>
      </w:r>
      <w:proofErr w:type="spellEnd"/>
      <w:r>
        <w:rPr>
          <w:lang w:val="en-GB"/>
        </w:rPr>
        <w:t xml:space="preserve">, 2015.Coffee in Agroforestry Systems-a double dividend for biodiversity and small farmers in Peru. </w:t>
      </w:r>
      <w:proofErr w:type="spellStart"/>
      <w:r>
        <w:rPr>
          <w:lang w:val="en-GB"/>
        </w:rPr>
        <w:t>Hivos</w:t>
      </w:r>
      <w:proofErr w:type="spellEnd"/>
      <w:r>
        <w:rPr>
          <w:lang w:val="en-GB"/>
        </w:rPr>
        <w:t>, The Hague, Netherlands.</w:t>
      </w:r>
    </w:p>
    <w:p w14:paraId="026D96C3" w14:textId="413D6DD6" w:rsidR="0044203C" w:rsidRDefault="0044203C" w:rsidP="0044203C">
      <w:pPr>
        <w:pStyle w:val="CETBodytext"/>
        <w:rPr>
          <w:lang w:val="en-GB"/>
        </w:rPr>
      </w:pPr>
      <w:r w:rsidRPr="006440D0">
        <w:rPr>
          <w:lang w:val="en-GB"/>
        </w:rPr>
        <w:t xml:space="preserve">Luis T, Acosta, Oscar O, Loli, 2025, Agroforestry system of coffee and pine on the physical and chemical characteristics of the soil, in </w:t>
      </w:r>
      <w:proofErr w:type="spellStart"/>
      <w:r w:rsidRPr="006440D0">
        <w:rPr>
          <w:lang w:val="en-GB"/>
        </w:rPr>
        <w:t>Pozuzo</w:t>
      </w:r>
      <w:proofErr w:type="spellEnd"/>
      <w:r w:rsidRPr="006440D0">
        <w:rPr>
          <w:lang w:val="en-GB"/>
        </w:rPr>
        <w:t>, Alcides Carrión National University</w:t>
      </w:r>
      <w:r>
        <w:rPr>
          <w:lang w:val="en-GB"/>
        </w:rPr>
        <w:t>.</w:t>
      </w:r>
    </w:p>
    <w:p w14:paraId="0CE75B57" w14:textId="257A7936" w:rsidR="0044203C" w:rsidRPr="00736528" w:rsidRDefault="0044203C" w:rsidP="0044203C">
      <w:pPr>
        <w:pStyle w:val="CETBodytext"/>
        <w:rPr>
          <w:lang w:val="es-PE"/>
        </w:rPr>
      </w:pPr>
      <w:r>
        <w:rPr>
          <w:lang w:val="en-GB"/>
        </w:rPr>
        <w:t xml:space="preserve">Medina C, Pérez M, Ruiz </w:t>
      </w:r>
      <w:proofErr w:type="spellStart"/>
      <w:proofErr w:type="gramStart"/>
      <w:r>
        <w:rPr>
          <w:lang w:val="en-GB"/>
        </w:rPr>
        <w:t>J.Quantification</w:t>
      </w:r>
      <w:proofErr w:type="spellEnd"/>
      <w:proofErr w:type="gramEnd"/>
      <w:r>
        <w:rPr>
          <w:lang w:val="en-GB"/>
        </w:rPr>
        <w:t xml:space="preserve"> of carbon stored in shaded </w:t>
      </w:r>
      <w:proofErr w:type="gramStart"/>
      <w:r>
        <w:rPr>
          <w:lang w:val="en-GB"/>
        </w:rPr>
        <w:t>coffee(</w:t>
      </w:r>
      <w:proofErr w:type="gramEnd"/>
      <w:r>
        <w:rPr>
          <w:lang w:val="en-GB"/>
        </w:rPr>
        <w:t xml:space="preserve">coffee arabica L.) soil in the Palo de sombrero region Jinotega, Nicaragua. </w:t>
      </w:r>
      <w:proofErr w:type="spellStart"/>
      <w:r w:rsidRPr="00736528">
        <w:rPr>
          <w:lang w:val="es-PE"/>
        </w:rPr>
        <w:t>National</w:t>
      </w:r>
      <w:proofErr w:type="spellEnd"/>
      <w:r w:rsidRPr="00736528">
        <w:rPr>
          <w:lang w:val="es-PE"/>
        </w:rPr>
        <w:t xml:space="preserve"> </w:t>
      </w:r>
      <w:proofErr w:type="spellStart"/>
      <w:r w:rsidRPr="00736528">
        <w:rPr>
          <w:lang w:val="es-PE"/>
        </w:rPr>
        <w:t>Agrarian</w:t>
      </w:r>
      <w:proofErr w:type="spellEnd"/>
      <w:r w:rsidRPr="00736528">
        <w:rPr>
          <w:lang w:val="es-PE"/>
        </w:rPr>
        <w:t xml:space="preserve"> </w:t>
      </w:r>
      <w:proofErr w:type="spellStart"/>
      <w:r w:rsidRPr="00736528">
        <w:rPr>
          <w:lang w:val="es-PE"/>
        </w:rPr>
        <w:t>Univesity</w:t>
      </w:r>
      <w:proofErr w:type="spellEnd"/>
      <w:r w:rsidRPr="00736528">
        <w:rPr>
          <w:lang w:val="es-PE"/>
        </w:rPr>
        <w:t>, Managua, Nicaragua.</w:t>
      </w:r>
    </w:p>
    <w:p w14:paraId="3B14FBDD" w14:textId="77777777" w:rsidR="00470794" w:rsidRPr="00531931" w:rsidRDefault="00470794" w:rsidP="00470794">
      <w:pPr>
        <w:pStyle w:val="CETBodytext"/>
        <w:rPr>
          <w:lang w:val="es-PE"/>
        </w:rPr>
      </w:pPr>
      <w:r w:rsidRPr="00531931">
        <w:rPr>
          <w:lang w:val="es-PE"/>
        </w:rPr>
        <w:t>Quinto K, Ramos J,2024, Estimación de biomasa y carbono en Sistema agroforestales de café(</w:t>
      </w:r>
      <w:proofErr w:type="spellStart"/>
      <w:r w:rsidRPr="00531931">
        <w:rPr>
          <w:lang w:val="es-PE"/>
        </w:rPr>
        <w:t>Coffea</w:t>
      </w:r>
      <w:proofErr w:type="spellEnd"/>
      <w:r w:rsidRPr="00531931">
        <w:rPr>
          <w:lang w:val="es-PE"/>
        </w:rPr>
        <w:t xml:space="preserve"> </w:t>
      </w:r>
      <w:proofErr w:type="spellStart"/>
      <w:r w:rsidRPr="00531931">
        <w:rPr>
          <w:lang w:val="es-PE"/>
        </w:rPr>
        <w:t>arabica</w:t>
      </w:r>
      <w:proofErr w:type="spellEnd"/>
      <w:r w:rsidRPr="00531931">
        <w:rPr>
          <w:lang w:val="es-PE"/>
        </w:rPr>
        <w:t xml:space="preserve"> L) en Lamas y Moyobamba, San Martin, Universidad César Vallejo</w:t>
      </w:r>
    </w:p>
    <w:p w14:paraId="506A31CE" w14:textId="7314EB87" w:rsidR="00470794" w:rsidRDefault="00470794" w:rsidP="0044203C">
      <w:pPr>
        <w:pStyle w:val="CETBodytext"/>
        <w:rPr>
          <w:lang w:val="en-GB"/>
        </w:rPr>
      </w:pPr>
      <w:proofErr w:type="spellStart"/>
      <w:r w:rsidRPr="006440D0">
        <w:rPr>
          <w:lang w:val="en-GB"/>
        </w:rPr>
        <w:t>Serfor</w:t>
      </w:r>
      <w:proofErr w:type="spellEnd"/>
      <w:r w:rsidRPr="006440D0">
        <w:rPr>
          <w:lang w:val="en-GB"/>
        </w:rPr>
        <w:t>, 2021, Agroforestry system, Lima, Ministry of Agrarian Development and Irrigation</w:t>
      </w:r>
    </w:p>
    <w:p w14:paraId="1988CD1E" w14:textId="73C9B22E" w:rsidR="0044203C" w:rsidRDefault="0044203C" w:rsidP="00621746">
      <w:pPr>
        <w:pStyle w:val="CETBodytext"/>
        <w:rPr>
          <w:lang w:val="en-GB"/>
        </w:rPr>
      </w:pPr>
      <w:r w:rsidRPr="0044203C">
        <w:rPr>
          <w:lang w:val="en-GB"/>
        </w:rPr>
        <w:t>Report (TAR). A report of the IPCC. WMO UNEP. Geneva, Switzerland (Third Assessment Report of the United Nations Intergovernmental Panel on Climate Change).</w:t>
      </w:r>
    </w:p>
    <w:p w14:paraId="4DBB4167" w14:textId="77777777" w:rsidR="0044203C" w:rsidRPr="006440D0" w:rsidRDefault="0044203C" w:rsidP="0044203C">
      <w:pPr>
        <w:pStyle w:val="CETBodytext"/>
        <w:rPr>
          <w:lang w:val="en-GB"/>
        </w:rPr>
      </w:pPr>
      <w:proofErr w:type="gramStart"/>
      <w:r w:rsidRPr="006440D0">
        <w:rPr>
          <w:lang w:val="en-GB"/>
        </w:rPr>
        <w:t>Recalde,</w:t>
      </w:r>
      <w:r>
        <w:rPr>
          <w:lang w:val="en-GB"/>
        </w:rPr>
        <w:t>J.</w:t>
      </w:r>
      <w:proofErr w:type="gramEnd"/>
      <w:r>
        <w:rPr>
          <w:lang w:val="en-GB"/>
        </w:rPr>
        <w:t>,</w:t>
      </w:r>
      <w:r w:rsidRPr="006440D0">
        <w:rPr>
          <w:lang w:val="en-GB"/>
        </w:rPr>
        <w:t xml:space="preserve">2022, Agroforestry design for coffee cultivation at high altitudes, International University of </w:t>
      </w:r>
    </w:p>
    <w:p w14:paraId="07C5E3A7" w14:textId="6E613632" w:rsidR="0044203C" w:rsidRDefault="0044203C" w:rsidP="006B0687">
      <w:pPr>
        <w:pStyle w:val="CETBodytext"/>
        <w:rPr>
          <w:lang w:val="en-GB"/>
        </w:rPr>
      </w:pPr>
      <w:r w:rsidRPr="006440D0">
        <w:rPr>
          <w:lang w:val="en-GB"/>
        </w:rPr>
        <w:t xml:space="preserve">Andalucia, </w:t>
      </w:r>
      <w:r>
        <w:rPr>
          <w:lang w:val="en-GB"/>
        </w:rPr>
        <w:t>Spain</w:t>
      </w:r>
      <w:r w:rsidRPr="006440D0">
        <w:rPr>
          <w:lang w:val="en-GB"/>
        </w:rPr>
        <w:t xml:space="preserve"> </w:t>
      </w:r>
    </w:p>
    <w:p w14:paraId="4FFEB9DF" w14:textId="2B3AA63E" w:rsidR="006B0687" w:rsidRDefault="006B0687" w:rsidP="006B0687">
      <w:pPr>
        <w:pStyle w:val="CETBodytext"/>
        <w:rPr>
          <w:lang w:val="en-GB"/>
        </w:rPr>
      </w:pPr>
      <w:r>
        <w:rPr>
          <w:lang w:val="en-GB"/>
        </w:rPr>
        <w:t>Ruíz</w:t>
      </w:r>
      <w:r w:rsidR="00621746">
        <w:rPr>
          <w:lang w:val="en-GB"/>
        </w:rPr>
        <w:t xml:space="preserve"> P,</w:t>
      </w:r>
      <w:r>
        <w:rPr>
          <w:lang w:val="en-GB"/>
        </w:rPr>
        <w:t xml:space="preserve"> Monterroso, </w:t>
      </w:r>
      <w:r w:rsidR="00621746">
        <w:rPr>
          <w:lang w:val="en-GB"/>
        </w:rPr>
        <w:t xml:space="preserve">A, </w:t>
      </w:r>
      <w:r>
        <w:rPr>
          <w:lang w:val="en-GB"/>
        </w:rPr>
        <w:t xml:space="preserve">2022, </w:t>
      </w:r>
      <w:r w:rsidRPr="006440D0">
        <w:rPr>
          <w:lang w:val="en-GB"/>
        </w:rPr>
        <w:t xml:space="preserve">Carbon reserves in agroforestry systems with coffee (Carob arabica L.) in the face of climate </w:t>
      </w:r>
      <w:proofErr w:type="spellStart"/>
      <w:proofErr w:type="gramStart"/>
      <w:r w:rsidRPr="006440D0">
        <w:rPr>
          <w:lang w:val="en-GB"/>
        </w:rPr>
        <w:t>change:</w:t>
      </w:r>
      <w:r>
        <w:rPr>
          <w:lang w:val="en-GB"/>
        </w:rPr>
        <w:t>caso</w:t>
      </w:r>
      <w:proofErr w:type="spellEnd"/>
      <w:proofErr w:type="gramEnd"/>
      <w:r>
        <w:rPr>
          <w:lang w:val="en-GB"/>
        </w:rPr>
        <w:t xml:space="preserve"> México, </w:t>
      </w:r>
      <w:r w:rsidRPr="006440D0">
        <w:rPr>
          <w:lang w:val="en-GB"/>
        </w:rPr>
        <w:t xml:space="preserve">University of </w:t>
      </w:r>
      <w:r>
        <w:rPr>
          <w:lang w:val="en-GB"/>
        </w:rPr>
        <w:t>Costa Rica.</w:t>
      </w:r>
    </w:p>
    <w:p w14:paraId="1BC4D835" w14:textId="51839418" w:rsidR="003654A7" w:rsidRPr="003654A7" w:rsidRDefault="00201FFC" w:rsidP="00F45670">
      <w:pPr>
        <w:pStyle w:val="CETBodytext"/>
        <w:rPr>
          <w:lang w:val="en-GB"/>
        </w:rPr>
      </w:pPr>
      <w:proofErr w:type="spellStart"/>
      <w:r w:rsidRPr="006440D0">
        <w:rPr>
          <w:lang w:val="en-GB"/>
        </w:rPr>
        <w:t>Serfor</w:t>
      </w:r>
      <w:proofErr w:type="spellEnd"/>
      <w:r w:rsidRPr="006440D0">
        <w:rPr>
          <w:lang w:val="en-GB"/>
        </w:rPr>
        <w:t>, 2021,</w:t>
      </w:r>
      <w:r w:rsidR="006440D0" w:rsidRPr="006440D0">
        <w:rPr>
          <w:lang w:val="en-GB"/>
        </w:rPr>
        <w:t xml:space="preserve"> Agroforestry system</w:t>
      </w:r>
      <w:r w:rsidRPr="006440D0">
        <w:rPr>
          <w:lang w:val="en-GB"/>
        </w:rPr>
        <w:t xml:space="preserve">, Lima, </w:t>
      </w:r>
      <w:r w:rsidR="006440D0" w:rsidRPr="006440D0">
        <w:rPr>
          <w:lang w:val="en-GB"/>
        </w:rPr>
        <w:t>Ministry of Agrarian Development and Irrigation</w:t>
      </w:r>
      <w:bookmarkEnd w:id="5"/>
    </w:p>
    <w:sectPr w:rsidR="003654A7" w:rsidRPr="003654A7"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54153" w14:textId="77777777" w:rsidR="00486413" w:rsidRDefault="00486413" w:rsidP="004F5E36">
      <w:r>
        <w:separator/>
      </w:r>
    </w:p>
  </w:endnote>
  <w:endnote w:type="continuationSeparator" w:id="0">
    <w:p w14:paraId="74ECB560" w14:textId="77777777" w:rsidR="00486413" w:rsidRDefault="00486413"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7DCE" w14:textId="77777777" w:rsidR="00486413" w:rsidRDefault="00486413" w:rsidP="004F5E36">
      <w:r>
        <w:separator/>
      </w:r>
    </w:p>
  </w:footnote>
  <w:footnote w:type="continuationSeparator" w:id="0">
    <w:p w14:paraId="340EBF8C" w14:textId="77777777" w:rsidR="00486413" w:rsidRDefault="00486413"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B05721A"/>
    <w:multiLevelType w:val="hybridMultilevel"/>
    <w:tmpl w:val="33942466"/>
    <w:lvl w:ilvl="0" w:tplc="1409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1"/>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8"/>
  </w:num>
  <w:num w:numId="13" w16cid:durableId="695733619">
    <w:abstractNumId w:val="13"/>
  </w:num>
  <w:num w:numId="14" w16cid:durableId="145903400">
    <w:abstractNumId w:val="19"/>
  </w:num>
  <w:num w:numId="15" w16cid:durableId="19162326">
    <w:abstractNumId w:val="21"/>
  </w:num>
  <w:num w:numId="16" w16cid:durableId="1977102699">
    <w:abstractNumId w:val="20"/>
  </w:num>
  <w:num w:numId="17" w16cid:durableId="860774865">
    <w:abstractNumId w:val="12"/>
  </w:num>
  <w:num w:numId="18" w16cid:durableId="313221457">
    <w:abstractNumId w:val="13"/>
    <w:lvlOverride w:ilvl="0">
      <w:startOverride w:val="1"/>
    </w:lvlOverride>
  </w:num>
  <w:num w:numId="19" w16cid:durableId="534971577">
    <w:abstractNumId w:val="17"/>
  </w:num>
  <w:num w:numId="20" w16cid:durableId="1150947773">
    <w:abstractNumId w:val="16"/>
  </w:num>
  <w:num w:numId="21" w16cid:durableId="124660497">
    <w:abstractNumId w:val="15"/>
  </w:num>
  <w:num w:numId="22" w16cid:durableId="2099861471">
    <w:abstractNumId w:val="14"/>
  </w:num>
  <w:num w:numId="23" w16cid:durableId="1476606934">
    <w:abstractNumId w:val="11"/>
  </w:num>
  <w:num w:numId="24" w16cid:durableId="135726487">
    <w:abstractNumId w:val="11"/>
  </w:num>
  <w:num w:numId="25" w16cid:durableId="14673518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01D"/>
    <w:rsid w:val="000027C0"/>
    <w:rsid w:val="000052FB"/>
    <w:rsid w:val="00005884"/>
    <w:rsid w:val="00005A19"/>
    <w:rsid w:val="000117CB"/>
    <w:rsid w:val="000143DF"/>
    <w:rsid w:val="00020BE2"/>
    <w:rsid w:val="00027FD0"/>
    <w:rsid w:val="0003148D"/>
    <w:rsid w:val="00031EEC"/>
    <w:rsid w:val="000357BE"/>
    <w:rsid w:val="00037028"/>
    <w:rsid w:val="00044A05"/>
    <w:rsid w:val="00050EC5"/>
    <w:rsid w:val="00051566"/>
    <w:rsid w:val="000562A9"/>
    <w:rsid w:val="00062A9A"/>
    <w:rsid w:val="00065058"/>
    <w:rsid w:val="00086C39"/>
    <w:rsid w:val="000913F1"/>
    <w:rsid w:val="000A03B2"/>
    <w:rsid w:val="000A4787"/>
    <w:rsid w:val="000A7766"/>
    <w:rsid w:val="000D0268"/>
    <w:rsid w:val="000D34BE"/>
    <w:rsid w:val="000D3913"/>
    <w:rsid w:val="000D5234"/>
    <w:rsid w:val="000D739F"/>
    <w:rsid w:val="000D7725"/>
    <w:rsid w:val="000E102F"/>
    <w:rsid w:val="000E36F1"/>
    <w:rsid w:val="000E3A73"/>
    <w:rsid w:val="000E414A"/>
    <w:rsid w:val="000E75FD"/>
    <w:rsid w:val="000F093C"/>
    <w:rsid w:val="000F787B"/>
    <w:rsid w:val="00101F02"/>
    <w:rsid w:val="0012091F"/>
    <w:rsid w:val="00124AAD"/>
    <w:rsid w:val="00126BC2"/>
    <w:rsid w:val="001308B6"/>
    <w:rsid w:val="0013121F"/>
    <w:rsid w:val="00131FE6"/>
    <w:rsid w:val="0013263F"/>
    <w:rsid w:val="001331DF"/>
    <w:rsid w:val="00134DE4"/>
    <w:rsid w:val="0014034D"/>
    <w:rsid w:val="00140FE3"/>
    <w:rsid w:val="00144D16"/>
    <w:rsid w:val="00150E59"/>
    <w:rsid w:val="00152DE3"/>
    <w:rsid w:val="00153DF2"/>
    <w:rsid w:val="00160770"/>
    <w:rsid w:val="00163C46"/>
    <w:rsid w:val="00164CF9"/>
    <w:rsid w:val="001667A6"/>
    <w:rsid w:val="00171660"/>
    <w:rsid w:val="00184AD6"/>
    <w:rsid w:val="00185288"/>
    <w:rsid w:val="001A2975"/>
    <w:rsid w:val="001A4AF7"/>
    <w:rsid w:val="001A6E17"/>
    <w:rsid w:val="001B0349"/>
    <w:rsid w:val="001B1E93"/>
    <w:rsid w:val="001B2D76"/>
    <w:rsid w:val="001B65C1"/>
    <w:rsid w:val="001C260F"/>
    <w:rsid w:val="001C33F1"/>
    <w:rsid w:val="001C684B"/>
    <w:rsid w:val="001D0CFB"/>
    <w:rsid w:val="001D21AF"/>
    <w:rsid w:val="001D494F"/>
    <w:rsid w:val="001D53FC"/>
    <w:rsid w:val="001D78B2"/>
    <w:rsid w:val="001E55A3"/>
    <w:rsid w:val="001F146E"/>
    <w:rsid w:val="001F42A5"/>
    <w:rsid w:val="001F7B9D"/>
    <w:rsid w:val="00201C93"/>
    <w:rsid w:val="00201FFC"/>
    <w:rsid w:val="0020659B"/>
    <w:rsid w:val="00206667"/>
    <w:rsid w:val="00213D42"/>
    <w:rsid w:val="002214C5"/>
    <w:rsid w:val="002224B4"/>
    <w:rsid w:val="00240B19"/>
    <w:rsid w:val="002447EF"/>
    <w:rsid w:val="002500F1"/>
    <w:rsid w:val="00251550"/>
    <w:rsid w:val="002629FF"/>
    <w:rsid w:val="00263B05"/>
    <w:rsid w:val="00264F50"/>
    <w:rsid w:val="0027221A"/>
    <w:rsid w:val="00275B61"/>
    <w:rsid w:val="00275D06"/>
    <w:rsid w:val="00280FAF"/>
    <w:rsid w:val="00282656"/>
    <w:rsid w:val="00290B90"/>
    <w:rsid w:val="00296B83"/>
    <w:rsid w:val="002A2CAE"/>
    <w:rsid w:val="002A49D3"/>
    <w:rsid w:val="002A5B40"/>
    <w:rsid w:val="002A782B"/>
    <w:rsid w:val="002B4015"/>
    <w:rsid w:val="002B5C01"/>
    <w:rsid w:val="002B78CE"/>
    <w:rsid w:val="002C2FB6"/>
    <w:rsid w:val="002C561C"/>
    <w:rsid w:val="002D4D90"/>
    <w:rsid w:val="002D6EB6"/>
    <w:rsid w:val="002E4201"/>
    <w:rsid w:val="002E5FA7"/>
    <w:rsid w:val="002E6C76"/>
    <w:rsid w:val="002F3309"/>
    <w:rsid w:val="003008CE"/>
    <w:rsid w:val="003009B7"/>
    <w:rsid w:val="00300E56"/>
    <w:rsid w:val="003013C3"/>
    <w:rsid w:val="0030152C"/>
    <w:rsid w:val="0030469C"/>
    <w:rsid w:val="00321CA6"/>
    <w:rsid w:val="00323763"/>
    <w:rsid w:val="00323C5F"/>
    <w:rsid w:val="00334C09"/>
    <w:rsid w:val="003474F3"/>
    <w:rsid w:val="00357C96"/>
    <w:rsid w:val="003616AE"/>
    <w:rsid w:val="003654A7"/>
    <w:rsid w:val="00370271"/>
    <w:rsid w:val="003723D4"/>
    <w:rsid w:val="00381905"/>
    <w:rsid w:val="00384CC8"/>
    <w:rsid w:val="003871FD"/>
    <w:rsid w:val="0039271C"/>
    <w:rsid w:val="003A1E30"/>
    <w:rsid w:val="003A2829"/>
    <w:rsid w:val="003A7D1C"/>
    <w:rsid w:val="003B131C"/>
    <w:rsid w:val="003B304B"/>
    <w:rsid w:val="003B3146"/>
    <w:rsid w:val="003B4EA5"/>
    <w:rsid w:val="003D1E02"/>
    <w:rsid w:val="003E21A7"/>
    <w:rsid w:val="003F015E"/>
    <w:rsid w:val="00400414"/>
    <w:rsid w:val="00411407"/>
    <w:rsid w:val="0041446B"/>
    <w:rsid w:val="004212F8"/>
    <w:rsid w:val="00427124"/>
    <w:rsid w:val="0044071E"/>
    <w:rsid w:val="0044203C"/>
    <w:rsid w:val="0044329C"/>
    <w:rsid w:val="00443F90"/>
    <w:rsid w:val="0045265E"/>
    <w:rsid w:val="00453D08"/>
    <w:rsid w:val="00453E24"/>
    <w:rsid w:val="00457456"/>
    <w:rsid w:val="004577FE"/>
    <w:rsid w:val="00457B9C"/>
    <w:rsid w:val="0046164A"/>
    <w:rsid w:val="004628D2"/>
    <w:rsid w:val="00462DCD"/>
    <w:rsid w:val="004648AD"/>
    <w:rsid w:val="0046739F"/>
    <w:rsid w:val="004703A9"/>
    <w:rsid w:val="00470794"/>
    <w:rsid w:val="004760DE"/>
    <w:rsid w:val="004763D7"/>
    <w:rsid w:val="00482C97"/>
    <w:rsid w:val="00486413"/>
    <w:rsid w:val="00493EF4"/>
    <w:rsid w:val="004A004E"/>
    <w:rsid w:val="004A24CF"/>
    <w:rsid w:val="004A5530"/>
    <w:rsid w:val="004A5E57"/>
    <w:rsid w:val="004B5CE4"/>
    <w:rsid w:val="004C194F"/>
    <w:rsid w:val="004C3D1D"/>
    <w:rsid w:val="004C3D84"/>
    <w:rsid w:val="004C7913"/>
    <w:rsid w:val="004E1E6F"/>
    <w:rsid w:val="004E3644"/>
    <w:rsid w:val="004E4DD6"/>
    <w:rsid w:val="004F5E36"/>
    <w:rsid w:val="005044B7"/>
    <w:rsid w:val="00507B47"/>
    <w:rsid w:val="00507BEF"/>
    <w:rsid w:val="00507CC9"/>
    <w:rsid w:val="005119A5"/>
    <w:rsid w:val="005178D4"/>
    <w:rsid w:val="005278B7"/>
    <w:rsid w:val="00531931"/>
    <w:rsid w:val="00532016"/>
    <w:rsid w:val="005346C8"/>
    <w:rsid w:val="005417B5"/>
    <w:rsid w:val="00543A5A"/>
    <w:rsid w:val="00543E7D"/>
    <w:rsid w:val="00547A68"/>
    <w:rsid w:val="005531C9"/>
    <w:rsid w:val="0056313C"/>
    <w:rsid w:val="0056694A"/>
    <w:rsid w:val="00570C43"/>
    <w:rsid w:val="00574ED7"/>
    <w:rsid w:val="00592274"/>
    <w:rsid w:val="005B15B6"/>
    <w:rsid w:val="005B2110"/>
    <w:rsid w:val="005B61E6"/>
    <w:rsid w:val="005C77E1"/>
    <w:rsid w:val="005D668A"/>
    <w:rsid w:val="005D6A2F"/>
    <w:rsid w:val="005E0592"/>
    <w:rsid w:val="005E1A82"/>
    <w:rsid w:val="005E794C"/>
    <w:rsid w:val="005F03A7"/>
    <w:rsid w:val="005F0A28"/>
    <w:rsid w:val="005F0E5E"/>
    <w:rsid w:val="00600535"/>
    <w:rsid w:val="0060758A"/>
    <w:rsid w:val="00610CD6"/>
    <w:rsid w:val="00613732"/>
    <w:rsid w:val="00616102"/>
    <w:rsid w:val="00620DEE"/>
    <w:rsid w:val="00621746"/>
    <w:rsid w:val="00621F92"/>
    <w:rsid w:val="0062280A"/>
    <w:rsid w:val="006231E1"/>
    <w:rsid w:val="0062531C"/>
    <w:rsid w:val="00625639"/>
    <w:rsid w:val="00626917"/>
    <w:rsid w:val="00631B33"/>
    <w:rsid w:val="0064184D"/>
    <w:rsid w:val="006422CC"/>
    <w:rsid w:val="006440D0"/>
    <w:rsid w:val="00647A48"/>
    <w:rsid w:val="00651D18"/>
    <w:rsid w:val="00660E3E"/>
    <w:rsid w:val="00662E74"/>
    <w:rsid w:val="00664F9F"/>
    <w:rsid w:val="00680C23"/>
    <w:rsid w:val="00682D34"/>
    <w:rsid w:val="00683E23"/>
    <w:rsid w:val="00693766"/>
    <w:rsid w:val="00697FF0"/>
    <w:rsid w:val="006A3281"/>
    <w:rsid w:val="006B0687"/>
    <w:rsid w:val="006B4888"/>
    <w:rsid w:val="006C23F1"/>
    <w:rsid w:val="006C2E45"/>
    <w:rsid w:val="006C359C"/>
    <w:rsid w:val="006C5579"/>
    <w:rsid w:val="006C6C73"/>
    <w:rsid w:val="006D156D"/>
    <w:rsid w:val="006D6E8B"/>
    <w:rsid w:val="006D7209"/>
    <w:rsid w:val="006E737D"/>
    <w:rsid w:val="006F4C45"/>
    <w:rsid w:val="00707DD1"/>
    <w:rsid w:val="0071167C"/>
    <w:rsid w:val="00713973"/>
    <w:rsid w:val="00720A24"/>
    <w:rsid w:val="00732386"/>
    <w:rsid w:val="00732D97"/>
    <w:rsid w:val="0073514D"/>
    <w:rsid w:val="00736528"/>
    <w:rsid w:val="007447F3"/>
    <w:rsid w:val="007460E8"/>
    <w:rsid w:val="0075499F"/>
    <w:rsid w:val="007617CC"/>
    <w:rsid w:val="007661C8"/>
    <w:rsid w:val="0077098D"/>
    <w:rsid w:val="00785BF9"/>
    <w:rsid w:val="0079082D"/>
    <w:rsid w:val="007931FA"/>
    <w:rsid w:val="007934FF"/>
    <w:rsid w:val="007A16F6"/>
    <w:rsid w:val="007A4861"/>
    <w:rsid w:val="007A7BBA"/>
    <w:rsid w:val="007B0C50"/>
    <w:rsid w:val="007B296E"/>
    <w:rsid w:val="007B48F9"/>
    <w:rsid w:val="007C1A43"/>
    <w:rsid w:val="007C40B0"/>
    <w:rsid w:val="007D0951"/>
    <w:rsid w:val="007E59A0"/>
    <w:rsid w:val="007E7C67"/>
    <w:rsid w:val="007F27C8"/>
    <w:rsid w:val="007F7250"/>
    <w:rsid w:val="0080013E"/>
    <w:rsid w:val="00810722"/>
    <w:rsid w:val="00813288"/>
    <w:rsid w:val="008168FC"/>
    <w:rsid w:val="00830996"/>
    <w:rsid w:val="008314D7"/>
    <w:rsid w:val="008345F1"/>
    <w:rsid w:val="00865B07"/>
    <w:rsid w:val="008667EA"/>
    <w:rsid w:val="00872207"/>
    <w:rsid w:val="0087637F"/>
    <w:rsid w:val="00881D51"/>
    <w:rsid w:val="00892A77"/>
    <w:rsid w:val="00892AD5"/>
    <w:rsid w:val="008A1512"/>
    <w:rsid w:val="008B16A2"/>
    <w:rsid w:val="008B4244"/>
    <w:rsid w:val="008B49B5"/>
    <w:rsid w:val="008B7CB4"/>
    <w:rsid w:val="008C4837"/>
    <w:rsid w:val="008C5280"/>
    <w:rsid w:val="008D32B9"/>
    <w:rsid w:val="008D433B"/>
    <w:rsid w:val="008D4A16"/>
    <w:rsid w:val="008E209A"/>
    <w:rsid w:val="008E45BC"/>
    <w:rsid w:val="008E566E"/>
    <w:rsid w:val="008F11AA"/>
    <w:rsid w:val="008F291D"/>
    <w:rsid w:val="00900354"/>
    <w:rsid w:val="0090161A"/>
    <w:rsid w:val="00901EB6"/>
    <w:rsid w:val="009041F8"/>
    <w:rsid w:val="00904C62"/>
    <w:rsid w:val="009128F2"/>
    <w:rsid w:val="00916554"/>
    <w:rsid w:val="00922BA8"/>
    <w:rsid w:val="00924DAC"/>
    <w:rsid w:val="00927058"/>
    <w:rsid w:val="00942750"/>
    <w:rsid w:val="009450CE"/>
    <w:rsid w:val="009459BB"/>
    <w:rsid w:val="00947179"/>
    <w:rsid w:val="0095164B"/>
    <w:rsid w:val="00953E7B"/>
    <w:rsid w:val="00954090"/>
    <w:rsid w:val="00955E8E"/>
    <w:rsid w:val="009573E7"/>
    <w:rsid w:val="00963E05"/>
    <w:rsid w:val="0096495E"/>
    <w:rsid w:val="00964A45"/>
    <w:rsid w:val="00967843"/>
    <w:rsid w:val="00967D54"/>
    <w:rsid w:val="00971028"/>
    <w:rsid w:val="00972EDE"/>
    <w:rsid w:val="00983759"/>
    <w:rsid w:val="009850C2"/>
    <w:rsid w:val="00986FDF"/>
    <w:rsid w:val="009938F3"/>
    <w:rsid w:val="00993B84"/>
    <w:rsid w:val="00996483"/>
    <w:rsid w:val="00996F5A"/>
    <w:rsid w:val="009A7EB0"/>
    <w:rsid w:val="009B041A"/>
    <w:rsid w:val="009B09B2"/>
    <w:rsid w:val="009C37C3"/>
    <w:rsid w:val="009C4D2B"/>
    <w:rsid w:val="009C7C86"/>
    <w:rsid w:val="009D2FF7"/>
    <w:rsid w:val="009D78DB"/>
    <w:rsid w:val="009E1E1C"/>
    <w:rsid w:val="009E342D"/>
    <w:rsid w:val="009E52F3"/>
    <w:rsid w:val="009E7884"/>
    <w:rsid w:val="009E788A"/>
    <w:rsid w:val="009F0E08"/>
    <w:rsid w:val="00A079AE"/>
    <w:rsid w:val="00A1638B"/>
    <w:rsid w:val="00A1763D"/>
    <w:rsid w:val="00A17CEC"/>
    <w:rsid w:val="00A26CBB"/>
    <w:rsid w:val="00A27DFF"/>
    <w:rsid w:val="00A27EF0"/>
    <w:rsid w:val="00A360C4"/>
    <w:rsid w:val="00A37118"/>
    <w:rsid w:val="00A42361"/>
    <w:rsid w:val="00A4412F"/>
    <w:rsid w:val="00A44472"/>
    <w:rsid w:val="00A44F90"/>
    <w:rsid w:val="00A50B20"/>
    <w:rsid w:val="00A51390"/>
    <w:rsid w:val="00A52528"/>
    <w:rsid w:val="00A60D13"/>
    <w:rsid w:val="00A7223D"/>
    <w:rsid w:val="00A72745"/>
    <w:rsid w:val="00A76EFC"/>
    <w:rsid w:val="00A87D50"/>
    <w:rsid w:val="00A91010"/>
    <w:rsid w:val="00A97F29"/>
    <w:rsid w:val="00AA4008"/>
    <w:rsid w:val="00AA702E"/>
    <w:rsid w:val="00AA7D26"/>
    <w:rsid w:val="00AB0964"/>
    <w:rsid w:val="00AB1EE1"/>
    <w:rsid w:val="00AB392D"/>
    <w:rsid w:val="00AB39DD"/>
    <w:rsid w:val="00AB5011"/>
    <w:rsid w:val="00AC7368"/>
    <w:rsid w:val="00AC73DF"/>
    <w:rsid w:val="00AD0278"/>
    <w:rsid w:val="00AD16B9"/>
    <w:rsid w:val="00AD47DE"/>
    <w:rsid w:val="00AE377D"/>
    <w:rsid w:val="00AF0EBA"/>
    <w:rsid w:val="00B02C8A"/>
    <w:rsid w:val="00B04627"/>
    <w:rsid w:val="00B164D2"/>
    <w:rsid w:val="00B17FBD"/>
    <w:rsid w:val="00B23BB8"/>
    <w:rsid w:val="00B315A6"/>
    <w:rsid w:val="00B31813"/>
    <w:rsid w:val="00B33365"/>
    <w:rsid w:val="00B44123"/>
    <w:rsid w:val="00B44F50"/>
    <w:rsid w:val="00B46880"/>
    <w:rsid w:val="00B52E07"/>
    <w:rsid w:val="00B536AA"/>
    <w:rsid w:val="00B57B36"/>
    <w:rsid w:val="00B57E6F"/>
    <w:rsid w:val="00B829A4"/>
    <w:rsid w:val="00B82DBF"/>
    <w:rsid w:val="00B84A0B"/>
    <w:rsid w:val="00B8686D"/>
    <w:rsid w:val="00B93F69"/>
    <w:rsid w:val="00BA5993"/>
    <w:rsid w:val="00BB1D1C"/>
    <w:rsid w:val="00BB1DDC"/>
    <w:rsid w:val="00BC01E4"/>
    <w:rsid w:val="00BC169F"/>
    <w:rsid w:val="00BC30C9"/>
    <w:rsid w:val="00BD077D"/>
    <w:rsid w:val="00BD1130"/>
    <w:rsid w:val="00BD60B8"/>
    <w:rsid w:val="00BE3655"/>
    <w:rsid w:val="00BE3E58"/>
    <w:rsid w:val="00BF5738"/>
    <w:rsid w:val="00C01616"/>
    <w:rsid w:val="00C0162B"/>
    <w:rsid w:val="00C063F9"/>
    <w:rsid w:val="00C068ED"/>
    <w:rsid w:val="00C2038F"/>
    <w:rsid w:val="00C208E9"/>
    <w:rsid w:val="00C22E0C"/>
    <w:rsid w:val="00C27787"/>
    <w:rsid w:val="00C345B1"/>
    <w:rsid w:val="00C40142"/>
    <w:rsid w:val="00C412C4"/>
    <w:rsid w:val="00C413AF"/>
    <w:rsid w:val="00C43E3F"/>
    <w:rsid w:val="00C52AE2"/>
    <w:rsid w:val="00C52C3C"/>
    <w:rsid w:val="00C557FA"/>
    <w:rsid w:val="00C57182"/>
    <w:rsid w:val="00C57863"/>
    <w:rsid w:val="00C640AF"/>
    <w:rsid w:val="00C655FD"/>
    <w:rsid w:val="00C75407"/>
    <w:rsid w:val="00C841C6"/>
    <w:rsid w:val="00C870A8"/>
    <w:rsid w:val="00C92D6C"/>
    <w:rsid w:val="00C94434"/>
    <w:rsid w:val="00C97352"/>
    <w:rsid w:val="00CA0D75"/>
    <w:rsid w:val="00CA1C95"/>
    <w:rsid w:val="00CA5A9C"/>
    <w:rsid w:val="00CB15F8"/>
    <w:rsid w:val="00CC4C20"/>
    <w:rsid w:val="00CD0E94"/>
    <w:rsid w:val="00CD3517"/>
    <w:rsid w:val="00CD5FE2"/>
    <w:rsid w:val="00CE7C68"/>
    <w:rsid w:val="00CF5AA0"/>
    <w:rsid w:val="00D02B4C"/>
    <w:rsid w:val="00D040C4"/>
    <w:rsid w:val="00D20AD1"/>
    <w:rsid w:val="00D23985"/>
    <w:rsid w:val="00D2582C"/>
    <w:rsid w:val="00D31288"/>
    <w:rsid w:val="00D3448D"/>
    <w:rsid w:val="00D442C4"/>
    <w:rsid w:val="00D46B7E"/>
    <w:rsid w:val="00D57C84"/>
    <w:rsid w:val="00D6057D"/>
    <w:rsid w:val="00D61F91"/>
    <w:rsid w:val="00D7148D"/>
    <w:rsid w:val="00D71640"/>
    <w:rsid w:val="00D836C5"/>
    <w:rsid w:val="00D84576"/>
    <w:rsid w:val="00D9172E"/>
    <w:rsid w:val="00DA1399"/>
    <w:rsid w:val="00DA24C6"/>
    <w:rsid w:val="00DA4D7B"/>
    <w:rsid w:val="00DB6F17"/>
    <w:rsid w:val="00DB6F2D"/>
    <w:rsid w:val="00DC3111"/>
    <w:rsid w:val="00DC3F3C"/>
    <w:rsid w:val="00DD271C"/>
    <w:rsid w:val="00DE264A"/>
    <w:rsid w:val="00DF5072"/>
    <w:rsid w:val="00DF54D0"/>
    <w:rsid w:val="00E02D18"/>
    <w:rsid w:val="00E041E7"/>
    <w:rsid w:val="00E23CA1"/>
    <w:rsid w:val="00E24A0A"/>
    <w:rsid w:val="00E2783D"/>
    <w:rsid w:val="00E409A8"/>
    <w:rsid w:val="00E46933"/>
    <w:rsid w:val="00E471AE"/>
    <w:rsid w:val="00E47D61"/>
    <w:rsid w:val="00E50C12"/>
    <w:rsid w:val="00E65B91"/>
    <w:rsid w:val="00E7209D"/>
    <w:rsid w:val="00E72EAD"/>
    <w:rsid w:val="00E77223"/>
    <w:rsid w:val="00E8307E"/>
    <w:rsid w:val="00E8528B"/>
    <w:rsid w:val="00E85B94"/>
    <w:rsid w:val="00E9723F"/>
    <w:rsid w:val="00E978D0"/>
    <w:rsid w:val="00EA2CF7"/>
    <w:rsid w:val="00EA3733"/>
    <w:rsid w:val="00EA3EF9"/>
    <w:rsid w:val="00EA4613"/>
    <w:rsid w:val="00EA7F91"/>
    <w:rsid w:val="00EB1523"/>
    <w:rsid w:val="00EB2EAF"/>
    <w:rsid w:val="00EC0E49"/>
    <w:rsid w:val="00EC101F"/>
    <w:rsid w:val="00EC1780"/>
    <w:rsid w:val="00EC1D9F"/>
    <w:rsid w:val="00ED53FD"/>
    <w:rsid w:val="00EE0131"/>
    <w:rsid w:val="00EE17B0"/>
    <w:rsid w:val="00EF06D9"/>
    <w:rsid w:val="00EF0982"/>
    <w:rsid w:val="00EF7A08"/>
    <w:rsid w:val="00F126A5"/>
    <w:rsid w:val="00F3049E"/>
    <w:rsid w:val="00F30C64"/>
    <w:rsid w:val="00F32BA2"/>
    <w:rsid w:val="00F32CDB"/>
    <w:rsid w:val="00F3348F"/>
    <w:rsid w:val="00F36D66"/>
    <w:rsid w:val="00F37280"/>
    <w:rsid w:val="00F41EE4"/>
    <w:rsid w:val="00F45670"/>
    <w:rsid w:val="00F565FE"/>
    <w:rsid w:val="00F579F0"/>
    <w:rsid w:val="00F63800"/>
    <w:rsid w:val="00F63A70"/>
    <w:rsid w:val="00F63D8C"/>
    <w:rsid w:val="00F7534E"/>
    <w:rsid w:val="00F93EDF"/>
    <w:rsid w:val="00FA1802"/>
    <w:rsid w:val="00FA21D0"/>
    <w:rsid w:val="00FA4E34"/>
    <w:rsid w:val="00FA5F5F"/>
    <w:rsid w:val="00FB730C"/>
    <w:rsid w:val="00FC2695"/>
    <w:rsid w:val="00FC3E03"/>
    <w:rsid w:val="00FC3FC1"/>
    <w:rsid w:val="00FC584B"/>
    <w:rsid w:val="00FF0D1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5:docId w15:val="{2DF17D9F-1D22-47C6-96D5-543A8A2A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noProof/>
      <w:sz w:val="18"/>
      <w:szCs w:val="20"/>
      <w:lang w:val="es-PE"/>
    </w:rPr>
  </w:style>
  <w:style w:type="paragraph" w:styleId="Ttulo1">
    <w:name w:val="heading 1"/>
    <w:basedOn w:val="CETHeading1"/>
    <w:next w:val="Normal"/>
    <w:link w:val="Ttulo1Car"/>
    <w:uiPriority w:val="9"/>
    <w:rsid w:val="004F5E36"/>
    <w:pPr>
      <w:tabs>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rrafodelista">
    <w:name w:val="List Paragraph"/>
    <w:basedOn w:val="Normal"/>
    <w:uiPriority w:val="34"/>
    <w:rsid w:val="00280FAF"/>
    <w:pPr>
      <w:ind w:left="720"/>
      <w:contextualSpacing/>
    </w:pPr>
  </w:style>
  <w:style w:type="character" w:customStyle="1" w:styleId="gmail-apple-converted-space">
    <w:name w:val="gmail-apple-converted-space"/>
    <w:basedOn w:val="Fuentedeprrafopredeter"/>
    <w:rsid w:val="00005A19"/>
  </w:style>
  <w:style w:type="character" w:customStyle="1" w:styleId="y2iqfc">
    <w:name w:val="y2iqfc"/>
    <w:basedOn w:val="Fuentedeprrafopredeter"/>
    <w:rsid w:val="00CD0E94"/>
  </w:style>
  <w:style w:type="character" w:styleId="Mencinsinresolver">
    <w:name w:val="Unresolved Mention"/>
    <w:basedOn w:val="Fuentedeprrafopredeter"/>
    <w:uiPriority w:val="99"/>
    <w:semiHidden/>
    <w:unhideWhenUsed/>
    <w:rsid w:val="001B2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326">
      <w:bodyDiv w:val="1"/>
      <w:marLeft w:val="0"/>
      <w:marRight w:val="0"/>
      <w:marTop w:val="0"/>
      <w:marBottom w:val="0"/>
      <w:divBdr>
        <w:top w:val="none" w:sz="0" w:space="0" w:color="auto"/>
        <w:left w:val="none" w:sz="0" w:space="0" w:color="auto"/>
        <w:bottom w:val="none" w:sz="0" w:space="0" w:color="auto"/>
        <w:right w:val="none" w:sz="0" w:space="0" w:color="auto"/>
      </w:divBdr>
    </w:div>
    <w:div w:id="25302965">
      <w:bodyDiv w:val="1"/>
      <w:marLeft w:val="0"/>
      <w:marRight w:val="0"/>
      <w:marTop w:val="0"/>
      <w:marBottom w:val="0"/>
      <w:divBdr>
        <w:top w:val="none" w:sz="0" w:space="0" w:color="auto"/>
        <w:left w:val="none" w:sz="0" w:space="0" w:color="auto"/>
        <w:bottom w:val="none" w:sz="0" w:space="0" w:color="auto"/>
        <w:right w:val="none" w:sz="0" w:space="0" w:color="auto"/>
      </w:divBdr>
    </w:div>
    <w:div w:id="45841475">
      <w:bodyDiv w:val="1"/>
      <w:marLeft w:val="0"/>
      <w:marRight w:val="0"/>
      <w:marTop w:val="0"/>
      <w:marBottom w:val="0"/>
      <w:divBdr>
        <w:top w:val="none" w:sz="0" w:space="0" w:color="auto"/>
        <w:left w:val="none" w:sz="0" w:space="0" w:color="auto"/>
        <w:bottom w:val="none" w:sz="0" w:space="0" w:color="auto"/>
        <w:right w:val="none" w:sz="0" w:space="0" w:color="auto"/>
      </w:divBdr>
    </w:div>
    <w:div w:id="90665689">
      <w:bodyDiv w:val="1"/>
      <w:marLeft w:val="0"/>
      <w:marRight w:val="0"/>
      <w:marTop w:val="0"/>
      <w:marBottom w:val="0"/>
      <w:divBdr>
        <w:top w:val="none" w:sz="0" w:space="0" w:color="auto"/>
        <w:left w:val="none" w:sz="0" w:space="0" w:color="auto"/>
        <w:bottom w:val="none" w:sz="0" w:space="0" w:color="auto"/>
        <w:right w:val="none" w:sz="0" w:space="0" w:color="auto"/>
      </w:divBdr>
    </w:div>
    <w:div w:id="123894809">
      <w:bodyDiv w:val="1"/>
      <w:marLeft w:val="0"/>
      <w:marRight w:val="0"/>
      <w:marTop w:val="0"/>
      <w:marBottom w:val="0"/>
      <w:divBdr>
        <w:top w:val="none" w:sz="0" w:space="0" w:color="auto"/>
        <w:left w:val="none" w:sz="0" w:space="0" w:color="auto"/>
        <w:bottom w:val="none" w:sz="0" w:space="0" w:color="auto"/>
        <w:right w:val="none" w:sz="0" w:space="0" w:color="auto"/>
      </w:divBdr>
    </w:div>
    <w:div w:id="131756557">
      <w:bodyDiv w:val="1"/>
      <w:marLeft w:val="0"/>
      <w:marRight w:val="0"/>
      <w:marTop w:val="0"/>
      <w:marBottom w:val="0"/>
      <w:divBdr>
        <w:top w:val="none" w:sz="0" w:space="0" w:color="auto"/>
        <w:left w:val="none" w:sz="0" w:space="0" w:color="auto"/>
        <w:bottom w:val="none" w:sz="0" w:space="0" w:color="auto"/>
        <w:right w:val="none" w:sz="0" w:space="0" w:color="auto"/>
      </w:divBdr>
    </w:div>
    <w:div w:id="134223973">
      <w:bodyDiv w:val="1"/>
      <w:marLeft w:val="0"/>
      <w:marRight w:val="0"/>
      <w:marTop w:val="0"/>
      <w:marBottom w:val="0"/>
      <w:divBdr>
        <w:top w:val="none" w:sz="0" w:space="0" w:color="auto"/>
        <w:left w:val="none" w:sz="0" w:space="0" w:color="auto"/>
        <w:bottom w:val="none" w:sz="0" w:space="0" w:color="auto"/>
        <w:right w:val="none" w:sz="0" w:space="0" w:color="auto"/>
      </w:divBdr>
    </w:div>
    <w:div w:id="167139908">
      <w:bodyDiv w:val="1"/>
      <w:marLeft w:val="0"/>
      <w:marRight w:val="0"/>
      <w:marTop w:val="0"/>
      <w:marBottom w:val="0"/>
      <w:divBdr>
        <w:top w:val="none" w:sz="0" w:space="0" w:color="auto"/>
        <w:left w:val="none" w:sz="0" w:space="0" w:color="auto"/>
        <w:bottom w:val="none" w:sz="0" w:space="0" w:color="auto"/>
        <w:right w:val="none" w:sz="0" w:space="0" w:color="auto"/>
      </w:divBdr>
    </w:div>
    <w:div w:id="194468400">
      <w:bodyDiv w:val="1"/>
      <w:marLeft w:val="0"/>
      <w:marRight w:val="0"/>
      <w:marTop w:val="0"/>
      <w:marBottom w:val="0"/>
      <w:divBdr>
        <w:top w:val="none" w:sz="0" w:space="0" w:color="auto"/>
        <w:left w:val="none" w:sz="0" w:space="0" w:color="auto"/>
        <w:bottom w:val="none" w:sz="0" w:space="0" w:color="auto"/>
        <w:right w:val="none" w:sz="0" w:space="0" w:color="auto"/>
      </w:divBdr>
    </w:div>
    <w:div w:id="266423289">
      <w:bodyDiv w:val="1"/>
      <w:marLeft w:val="0"/>
      <w:marRight w:val="0"/>
      <w:marTop w:val="0"/>
      <w:marBottom w:val="0"/>
      <w:divBdr>
        <w:top w:val="none" w:sz="0" w:space="0" w:color="auto"/>
        <w:left w:val="none" w:sz="0" w:space="0" w:color="auto"/>
        <w:bottom w:val="none" w:sz="0" w:space="0" w:color="auto"/>
        <w:right w:val="none" w:sz="0" w:space="0" w:color="auto"/>
      </w:divBdr>
    </w:div>
    <w:div w:id="328408168">
      <w:bodyDiv w:val="1"/>
      <w:marLeft w:val="0"/>
      <w:marRight w:val="0"/>
      <w:marTop w:val="0"/>
      <w:marBottom w:val="0"/>
      <w:divBdr>
        <w:top w:val="none" w:sz="0" w:space="0" w:color="auto"/>
        <w:left w:val="none" w:sz="0" w:space="0" w:color="auto"/>
        <w:bottom w:val="none" w:sz="0" w:space="0" w:color="auto"/>
        <w:right w:val="none" w:sz="0" w:space="0" w:color="auto"/>
      </w:divBdr>
    </w:div>
    <w:div w:id="332339757">
      <w:bodyDiv w:val="1"/>
      <w:marLeft w:val="0"/>
      <w:marRight w:val="0"/>
      <w:marTop w:val="0"/>
      <w:marBottom w:val="0"/>
      <w:divBdr>
        <w:top w:val="none" w:sz="0" w:space="0" w:color="auto"/>
        <w:left w:val="none" w:sz="0" w:space="0" w:color="auto"/>
        <w:bottom w:val="none" w:sz="0" w:space="0" w:color="auto"/>
        <w:right w:val="none" w:sz="0" w:space="0" w:color="auto"/>
      </w:divBdr>
    </w:div>
    <w:div w:id="370813798">
      <w:bodyDiv w:val="1"/>
      <w:marLeft w:val="0"/>
      <w:marRight w:val="0"/>
      <w:marTop w:val="0"/>
      <w:marBottom w:val="0"/>
      <w:divBdr>
        <w:top w:val="none" w:sz="0" w:space="0" w:color="auto"/>
        <w:left w:val="none" w:sz="0" w:space="0" w:color="auto"/>
        <w:bottom w:val="none" w:sz="0" w:space="0" w:color="auto"/>
        <w:right w:val="none" w:sz="0" w:space="0" w:color="auto"/>
      </w:divBdr>
    </w:div>
    <w:div w:id="374433919">
      <w:bodyDiv w:val="1"/>
      <w:marLeft w:val="0"/>
      <w:marRight w:val="0"/>
      <w:marTop w:val="0"/>
      <w:marBottom w:val="0"/>
      <w:divBdr>
        <w:top w:val="none" w:sz="0" w:space="0" w:color="auto"/>
        <w:left w:val="none" w:sz="0" w:space="0" w:color="auto"/>
        <w:bottom w:val="none" w:sz="0" w:space="0" w:color="auto"/>
        <w:right w:val="none" w:sz="0" w:space="0" w:color="auto"/>
      </w:divBdr>
    </w:div>
    <w:div w:id="384256514">
      <w:bodyDiv w:val="1"/>
      <w:marLeft w:val="0"/>
      <w:marRight w:val="0"/>
      <w:marTop w:val="0"/>
      <w:marBottom w:val="0"/>
      <w:divBdr>
        <w:top w:val="none" w:sz="0" w:space="0" w:color="auto"/>
        <w:left w:val="none" w:sz="0" w:space="0" w:color="auto"/>
        <w:bottom w:val="none" w:sz="0" w:space="0" w:color="auto"/>
        <w:right w:val="none" w:sz="0" w:space="0" w:color="auto"/>
      </w:divBdr>
    </w:div>
    <w:div w:id="553278226">
      <w:bodyDiv w:val="1"/>
      <w:marLeft w:val="0"/>
      <w:marRight w:val="0"/>
      <w:marTop w:val="0"/>
      <w:marBottom w:val="0"/>
      <w:divBdr>
        <w:top w:val="none" w:sz="0" w:space="0" w:color="auto"/>
        <w:left w:val="none" w:sz="0" w:space="0" w:color="auto"/>
        <w:bottom w:val="none" w:sz="0" w:space="0" w:color="auto"/>
        <w:right w:val="none" w:sz="0" w:space="0" w:color="auto"/>
      </w:divBdr>
    </w:div>
    <w:div w:id="567771075">
      <w:bodyDiv w:val="1"/>
      <w:marLeft w:val="0"/>
      <w:marRight w:val="0"/>
      <w:marTop w:val="0"/>
      <w:marBottom w:val="0"/>
      <w:divBdr>
        <w:top w:val="none" w:sz="0" w:space="0" w:color="auto"/>
        <w:left w:val="none" w:sz="0" w:space="0" w:color="auto"/>
        <w:bottom w:val="none" w:sz="0" w:space="0" w:color="auto"/>
        <w:right w:val="none" w:sz="0" w:space="0" w:color="auto"/>
      </w:divBdr>
      <w:divsChild>
        <w:div w:id="528688870">
          <w:marLeft w:val="0"/>
          <w:marRight w:val="0"/>
          <w:marTop w:val="0"/>
          <w:marBottom w:val="0"/>
          <w:divBdr>
            <w:top w:val="none" w:sz="0" w:space="0" w:color="auto"/>
            <w:left w:val="none" w:sz="0" w:space="0" w:color="auto"/>
            <w:bottom w:val="none" w:sz="0" w:space="0" w:color="auto"/>
            <w:right w:val="none" w:sz="0" w:space="0" w:color="auto"/>
          </w:divBdr>
          <w:divsChild>
            <w:div w:id="747457629">
              <w:marLeft w:val="0"/>
              <w:marRight w:val="0"/>
              <w:marTop w:val="0"/>
              <w:marBottom w:val="0"/>
              <w:divBdr>
                <w:top w:val="none" w:sz="0" w:space="0" w:color="auto"/>
                <w:left w:val="none" w:sz="0" w:space="0" w:color="auto"/>
                <w:bottom w:val="none" w:sz="0" w:space="0" w:color="auto"/>
                <w:right w:val="none" w:sz="0" w:space="0" w:color="auto"/>
              </w:divBdr>
              <w:divsChild>
                <w:div w:id="2094743321">
                  <w:marLeft w:val="0"/>
                  <w:marRight w:val="0"/>
                  <w:marTop w:val="0"/>
                  <w:marBottom w:val="0"/>
                  <w:divBdr>
                    <w:top w:val="none" w:sz="0" w:space="0" w:color="auto"/>
                    <w:left w:val="none" w:sz="0" w:space="0" w:color="auto"/>
                    <w:bottom w:val="none" w:sz="0" w:space="0" w:color="auto"/>
                    <w:right w:val="none" w:sz="0" w:space="0" w:color="auto"/>
                  </w:divBdr>
                  <w:divsChild>
                    <w:div w:id="1596940538">
                      <w:marLeft w:val="0"/>
                      <w:marRight w:val="0"/>
                      <w:marTop w:val="0"/>
                      <w:marBottom w:val="0"/>
                      <w:divBdr>
                        <w:top w:val="none" w:sz="0" w:space="0" w:color="auto"/>
                        <w:left w:val="none" w:sz="0" w:space="0" w:color="auto"/>
                        <w:bottom w:val="none" w:sz="0" w:space="0" w:color="auto"/>
                        <w:right w:val="none" w:sz="0" w:space="0" w:color="auto"/>
                      </w:divBdr>
                      <w:divsChild>
                        <w:div w:id="741030508">
                          <w:marLeft w:val="0"/>
                          <w:marRight w:val="0"/>
                          <w:marTop w:val="0"/>
                          <w:marBottom w:val="0"/>
                          <w:divBdr>
                            <w:top w:val="none" w:sz="0" w:space="0" w:color="auto"/>
                            <w:left w:val="none" w:sz="0" w:space="0" w:color="auto"/>
                            <w:bottom w:val="none" w:sz="0" w:space="0" w:color="auto"/>
                            <w:right w:val="none" w:sz="0" w:space="0" w:color="auto"/>
                          </w:divBdr>
                          <w:divsChild>
                            <w:div w:id="305472836">
                              <w:marLeft w:val="0"/>
                              <w:marRight w:val="0"/>
                              <w:marTop w:val="0"/>
                              <w:marBottom w:val="0"/>
                              <w:divBdr>
                                <w:top w:val="none" w:sz="0" w:space="0" w:color="auto"/>
                                <w:left w:val="none" w:sz="0" w:space="0" w:color="auto"/>
                                <w:bottom w:val="none" w:sz="0" w:space="0" w:color="auto"/>
                                <w:right w:val="none" w:sz="0" w:space="0" w:color="auto"/>
                              </w:divBdr>
                              <w:divsChild>
                                <w:div w:id="1571230288">
                                  <w:marLeft w:val="0"/>
                                  <w:marRight w:val="0"/>
                                  <w:marTop w:val="0"/>
                                  <w:marBottom w:val="0"/>
                                  <w:divBdr>
                                    <w:top w:val="none" w:sz="0" w:space="0" w:color="auto"/>
                                    <w:left w:val="none" w:sz="0" w:space="0" w:color="auto"/>
                                    <w:bottom w:val="none" w:sz="0" w:space="0" w:color="auto"/>
                                    <w:right w:val="none" w:sz="0" w:space="0" w:color="auto"/>
                                  </w:divBdr>
                                  <w:divsChild>
                                    <w:div w:id="159215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4170562">
      <w:bodyDiv w:val="1"/>
      <w:marLeft w:val="0"/>
      <w:marRight w:val="0"/>
      <w:marTop w:val="0"/>
      <w:marBottom w:val="0"/>
      <w:divBdr>
        <w:top w:val="none" w:sz="0" w:space="0" w:color="auto"/>
        <w:left w:val="none" w:sz="0" w:space="0" w:color="auto"/>
        <w:bottom w:val="none" w:sz="0" w:space="0" w:color="auto"/>
        <w:right w:val="none" w:sz="0" w:space="0" w:color="auto"/>
      </w:divBdr>
    </w:div>
    <w:div w:id="623314806">
      <w:bodyDiv w:val="1"/>
      <w:marLeft w:val="0"/>
      <w:marRight w:val="0"/>
      <w:marTop w:val="0"/>
      <w:marBottom w:val="0"/>
      <w:divBdr>
        <w:top w:val="none" w:sz="0" w:space="0" w:color="auto"/>
        <w:left w:val="none" w:sz="0" w:space="0" w:color="auto"/>
        <w:bottom w:val="none" w:sz="0" w:space="0" w:color="auto"/>
        <w:right w:val="none" w:sz="0" w:space="0" w:color="auto"/>
      </w:divBdr>
    </w:div>
    <w:div w:id="663094149">
      <w:bodyDiv w:val="1"/>
      <w:marLeft w:val="0"/>
      <w:marRight w:val="0"/>
      <w:marTop w:val="0"/>
      <w:marBottom w:val="0"/>
      <w:divBdr>
        <w:top w:val="none" w:sz="0" w:space="0" w:color="auto"/>
        <w:left w:val="none" w:sz="0" w:space="0" w:color="auto"/>
        <w:bottom w:val="none" w:sz="0" w:space="0" w:color="auto"/>
        <w:right w:val="none" w:sz="0" w:space="0" w:color="auto"/>
      </w:divBdr>
    </w:div>
    <w:div w:id="664550470">
      <w:bodyDiv w:val="1"/>
      <w:marLeft w:val="0"/>
      <w:marRight w:val="0"/>
      <w:marTop w:val="0"/>
      <w:marBottom w:val="0"/>
      <w:divBdr>
        <w:top w:val="none" w:sz="0" w:space="0" w:color="auto"/>
        <w:left w:val="none" w:sz="0" w:space="0" w:color="auto"/>
        <w:bottom w:val="none" w:sz="0" w:space="0" w:color="auto"/>
        <w:right w:val="none" w:sz="0" w:space="0" w:color="auto"/>
      </w:divBdr>
    </w:div>
    <w:div w:id="665476558">
      <w:bodyDiv w:val="1"/>
      <w:marLeft w:val="0"/>
      <w:marRight w:val="0"/>
      <w:marTop w:val="0"/>
      <w:marBottom w:val="0"/>
      <w:divBdr>
        <w:top w:val="none" w:sz="0" w:space="0" w:color="auto"/>
        <w:left w:val="none" w:sz="0" w:space="0" w:color="auto"/>
        <w:bottom w:val="none" w:sz="0" w:space="0" w:color="auto"/>
        <w:right w:val="none" w:sz="0" w:space="0" w:color="auto"/>
      </w:divBdr>
    </w:div>
    <w:div w:id="681585702">
      <w:bodyDiv w:val="1"/>
      <w:marLeft w:val="0"/>
      <w:marRight w:val="0"/>
      <w:marTop w:val="0"/>
      <w:marBottom w:val="0"/>
      <w:divBdr>
        <w:top w:val="none" w:sz="0" w:space="0" w:color="auto"/>
        <w:left w:val="none" w:sz="0" w:space="0" w:color="auto"/>
        <w:bottom w:val="none" w:sz="0" w:space="0" w:color="auto"/>
        <w:right w:val="none" w:sz="0" w:space="0" w:color="auto"/>
      </w:divBdr>
    </w:div>
    <w:div w:id="686447349">
      <w:bodyDiv w:val="1"/>
      <w:marLeft w:val="0"/>
      <w:marRight w:val="0"/>
      <w:marTop w:val="0"/>
      <w:marBottom w:val="0"/>
      <w:divBdr>
        <w:top w:val="none" w:sz="0" w:space="0" w:color="auto"/>
        <w:left w:val="none" w:sz="0" w:space="0" w:color="auto"/>
        <w:bottom w:val="none" w:sz="0" w:space="0" w:color="auto"/>
        <w:right w:val="none" w:sz="0" w:space="0" w:color="auto"/>
      </w:divBdr>
    </w:div>
    <w:div w:id="702100379">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2369">
      <w:bodyDiv w:val="1"/>
      <w:marLeft w:val="0"/>
      <w:marRight w:val="0"/>
      <w:marTop w:val="0"/>
      <w:marBottom w:val="0"/>
      <w:divBdr>
        <w:top w:val="none" w:sz="0" w:space="0" w:color="auto"/>
        <w:left w:val="none" w:sz="0" w:space="0" w:color="auto"/>
        <w:bottom w:val="none" w:sz="0" w:space="0" w:color="auto"/>
        <w:right w:val="none" w:sz="0" w:space="0" w:color="auto"/>
      </w:divBdr>
    </w:div>
    <w:div w:id="850602933">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658572">
      <w:bodyDiv w:val="1"/>
      <w:marLeft w:val="0"/>
      <w:marRight w:val="0"/>
      <w:marTop w:val="0"/>
      <w:marBottom w:val="0"/>
      <w:divBdr>
        <w:top w:val="none" w:sz="0" w:space="0" w:color="auto"/>
        <w:left w:val="none" w:sz="0" w:space="0" w:color="auto"/>
        <w:bottom w:val="none" w:sz="0" w:space="0" w:color="auto"/>
        <w:right w:val="none" w:sz="0" w:space="0" w:color="auto"/>
      </w:divBdr>
    </w:div>
    <w:div w:id="925650200">
      <w:bodyDiv w:val="1"/>
      <w:marLeft w:val="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773">
      <w:bodyDiv w:val="1"/>
      <w:marLeft w:val="0"/>
      <w:marRight w:val="0"/>
      <w:marTop w:val="0"/>
      <w:marBottom w:val="0"/>
      <w:divBdr>
        <w:top w:val="none" w:sz="0" w:space="0" w:color="auto"/>
        <w:left w:val="none" w:sz="0" w:space="0" w:color="auto"/>
        <w:bottom w:val="none" w:sz="0" w:space="0" w:color="auto"/>
        <w:right w:val="none" w:sz="0" w:space="0" w:color="auto"/>
      </w:divBdr>
    </w:div>
    <w:div w:id="989753521">
      <w:bodyDiv w:val="1"/>
      <w:marLeft w:val="0"/>
      <w:marRight w:val="0"/>
      <w:marTop w:val="0"/>
      <w:marBottom w:val="0"/>
      <w:divBdr>
        <w:top w:val="none" w:sz="0" w:space="0" w:color="auto"/>
        <w:left w:val="none" w:sz="0" w:space="0" w:color="auto"/>
        <w:bottom w:val="none" w:sz="0" w:space="0" w:color="auto"/>
        <w:right w:val="none" w:sz="0" w:space="0" w:color="auto"/>
      </w:divBdr>
    </w:div>
    <w:div w:id="1001346897">
      <w:bodyDiv w:val="1"/>
      <w:marLeft w:val="0"/>
      <w:marRight w:val="0"/>
      <w:marTop w:val="0"/>
      <w:marBottom w:val="0"/>
      <w:divBdr>
        <w:top w:val="none" w:sz="0" w:space="0" w:color="auto"/>
        <w:left w:val="none" w:sz="0" w:space="0" w:color="auto"/>
        <w:bottom w:val="none" w:sz="0" w:space="0" w:color="auto"/>
        <w:right w:val="none" w:sz="0" w:space="0" w:color="auto"/>
      </w:divBdr>
    </w:div>
    <w:div w:id="1010371126">
      <w:bodyDiv w:val="1"/>
      <w:marLeft w:val="0"/>
      <w:marRight w:val="0"/>
      <w:marTop w:val="0"/>
      <w:marBottom w:val="0"/>
      <w:divBdr>
        <w:top w:val="none" w:sz="0" w:space="0" w:color="auto"/>
        <w:left w:val="none" w:sz="0" w:space="0" w:color="auto"/>
        <w:bottom w:val="none" w:sz="0" w:space="0" w:color="auto"/>
        <w:right w:val="none" w:sz="0" w:space="0" w:color="auto"/>
      </w:divBdr>
    </w:div>
    <w:div w:id="1050347992">
      <w:bodyDiv w:val="1"/>
      <w:marLeft w:val="0"/>
      <w:marRight w:val="0"/>
      <w:marTop w:val="0"/>
      <w:marBottom w:val="0"/>
      <w:divBdr>
        <w:top w:val="none" w:sz="0" w:space="0" w:color="auto"/>
        <w:left w:val="none" w:sz="0" w:space="0" w:color="auto"/>
        <w:bottom w:val="none" w:sz="0" w:space="0" w:color="auto"/>
        <w:right w:val="none" w:sz="0" w:space="0" w:color="auto"/>
      </w:divBdr>
    </w:div>
    <w:div w:id="1079135841">
      <w:bodyDiv w:val="1"/>
      <w:marLeft w:val="0"/>
      <w:marRight w:val="0"/>
      <w:marTop w:val="0"/>
      <w:marBottom w:val="0"/>
      <w:divBdr>
        <w:top w:val="none" w:sz="0" w:space="0" w:color="auto"/>
        <w:left w:val="none" w:sz="0" w:space="0" w:color="auto"/>
        <w:bottom w:val="none" w:sz="0" w:space="0" w:color="auto"/>
        <w:right w:val="none" w:sz="0" w:space="0" w:color="auto"/>
      </w:divBdr>
    </w:div>
    <w:div w:id="1085229772">
      <w:bodyDiv w:val="1"/>
      <w:marLeft w:val="0"/>
      <w:marRight w:val="0"/>
      <w:marTop w:val="0"/>
      <w:marBottom w:val="0"/>
      <w:divBdr>
        <w:top w:val="none" w:sz="0" w:space="0" w:color="auto"/>
        <w:left w:val="none" w:sz="0" w:space="0" w:color="auto"/>
        <w:bottom w:val="none" w:sz="0" w:space="0" w:color="auto"/>
        <w:right w:val="none" w:sz="0" w:space="0" w:color="auto"/>
      </w:divBdr>
    </w:div>
    <w:div w:id="1138498354">
      <w:bodyDiv w:val="1"/>
      <w:marLeft w:val="0"/>
      <w:marRight w:val="0"/>
      <w:marTop w:val="0"/>
      <w:marBottom w:val="0"/>
      <w:divBdr>
        <w:top w:val="none" w:sz="0" w:space="0" w:color="auto"/>
        <w:left w:val="none" w:sz="0" w:space="0" w:color="auto"/>
        <w:bottom w:val="none" w:sz="0" w:space="0" w:color="auto"/>
        <w:right w:val="none" w:sz="0" w:space="0" w:color="auto"/>
      </w:divBdr>
    </w:div>
    <w:div w:id="1222785885">
      <w:bodyDiv w:val="1"/>
      <w:marLeft w:val="0"/>
      <w:marRight w:val="0"/>
      <w:marTop w:val="0"/>
      <w:marBottom w:val="0"/>
      <w:divBdr>
        <w:top w:val="none" w:sz="0" w:space="0" w:color="auto"/>
        <w:left w:val="none" w:sz="0" w:space="0" w:color="auto"/>
        <w:bottom w:val="none" w:sz="0" w:space="0" w:color="auto"/>
        <w:right w:val="none" w:sz="0" w:space="0" w:color="auto"/>
      </w:divBdr>
    </w:div>
    <w:div w:id="1244949775">
      <w:bodyDiv w:val="1"/>
      <w:marLeft w:val="0"/>
      <w:marRight w:val="0"/>
      <w:marTop w:val="0"/>
      <w:marBottom w:val="0"/>
      <w:divBdr>
        <w:top w:val="none" w:sz="0" w:space="0" w:color="auto"/>
        <w:left w:val="none" w:sz="0" w:space="0" w:color="auto"/>
        <w:bottom w:val="none" w:sz="0" w:space="0" w:color="auto"/>
        <w:right w:val="none" w:sz="0" w:space="0" w:color="auto"/>
      </w:divBdr>
    </w:div>
    <w:div w:id="1256862506">
      <w:bodyDiv w:val="1"/>
      <w:marLeft w:val="0"/>
      <w:marRight w:val="0"/>
      <w:marTop w:val="0"/>
      <w:marBottom w:val="0"/>
      <w:divBdr>
        <w:top w:val="none" w:sz="0" w:space="0" w:color="auto"/>
        <w:left w:val="none" w:sz="0" w:space="0" w:color="auto"/>
        <w:bottom w:val="none" w:sz="0" w:space="0" w:color="auto"/>
        <w:right w:val="none" w:sz="0" w:space="0" w:color="auto"/>
      </w:divBdr>
    </w:div>
    <w:div w:id="1273781160">
      <w:bodyDiv w:val="1"/>
      <w:marLeft w:val="0"/>
      <w:marRight w:val="0"/>
      <w:marTop w:val="0"/>
      <w:marBottom w:val="0"/>
      <w:divBdr>
        <w:top w:val="none" w:sz="0" w:space="0" w:color="auto"/>
        <w:left w:val="none" w:sz="0" w:space="0" w:color="auto"/>
        <w:bottom w:val="none" w:sz="0" w:space="0" w:color="auto"/>
        <w:right w:val="none" w:sz="0" w:space="0" w:color="auto"/>
      </w:divBdr>
    </w:div>
    <w:div w:id="1293445010">
      <w:bodyDiv w:val="1"/>
      <w:marLeft w:val="0"/>
      <w:marRight w:val="0"/>
      <w:marTop w:val="0"/>
      <w:marBottom w:val="0"/>
      <w:divBdr>
        <w:top w:val="none" w:sz="0" w:space="0" w:color="auto"/>
        <w:left w:val="none" w:sz="0" w:space="0" w:color="auto"/>
        <w:bottom w:val="none" w:sz="0" w:space="0" w:color="auto"/>
        <w:right w:val="none" w:sz="0" w:space="0" w:color="auto"/>
      </w:divBdr>
    </w:div>
    <w:div w:id="1320160378">
      <w:bodyDiv w:val="1"/>
      <w:marLeft w:val="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342119174">
      <w:bodyDiv w:val="1"/>
      <w:marLeft w:val="0"/>
      <w:marRight w:val="0"/>
      <w:marTop w:val="0"/>
      <w:marBottom w:val="0"/>
      <w:divBdr>
        <w:top w:val="none" w:sz="0" w:space="0" w:color="auto"/>
        <w:left w:val="none" w:sz="0" w:space="0" w:color="auto"/>
        <w:bottom w:val="none" w:sz="0" w:space="0" w:color="auto"/>
        <w:right w:val="none" w:sz="0" w:space="0" w:color="auto"/>
      </w:divBdr>
    </w:div>
    <w:div w:id="1346713953">
      <w:bodyDiv w:val="1"/>
      <w:marLeft w:val="0"/>
      <w:marRight w:val="0"/>
      <w:marTop w:val="0"/>
      <w:marBottom w:val="0"/>
      <w:divBdr>
        <w:top w:val="none" w:sz="0" w:space="0" w:color="auto"/>
        <w:left w:val="none" w:sz="0" w:space="0" w:color="auto"/>
        <w:bottom w:val="none" w:sz="0" w:space="0" w:color="auto"/>
        <w:right w:val="none" w:sz="0" w:space="0" w:color="auto"/>
      </w:divBdr>
    </w:div>
    <w:div w:id="1355036694">
      <w:bodyDiv w:val="1"/>
      <w:marLeft w:val="0"/>
      <w:marRight w:val="0"/>
      <w:marTop w:val="0"/>
      <w:marBottom w:val="0"/>
      <w:divBdr>
        <w:top w:val="none" w:sz="0" w:space="0" w:color="auto"/>
        <w:left w:val="none" w:sz="0" w:space="0" w:color="auto"/>
        <w:bottom w:val="none" w:sz="0" w:space="0" w:color="auto"/>
        <w:right w:val="none" w:sz="0" w:space="0" w:color="auto"/>
      </w:divBdr>
    </w:div>
    <w:div w:id="1356881814">
      <w:bodyDiv w:val="1"/>
      <w:marLeft w:val="0"/>
      <w:marRight w:val="0"/>
      <w:marTop w:val="0"/>
      <w:marBottom w:val="0"/>
      <w:divBdr>
        <w:top w:val="none" w:sz="0" w:space="0" w:color="auto"/>
        <w:left w:val="none" w:sz="0" w:space="0" w:color="auto"/>
        <w:bottom w:val="none" w:sz="0" w:space="0" w:color="auto"/>
        <w:right w:val="none" w:sz="0" w:space="0" w:color="auto"/>
      </w:divBdr>
    </w:div>
    <w:div w:id="1366372121">
      <w:bodyDiv w:val="1"/>
      <w:marLeft w:val="0"/>
      <w:marRight w:val="0"/>
      <w:marTop w:val="0"/>
      <w:marBottom w:val="0"/>
      <w:divBdr>
        <w:top w:val="none" w:sz="0" w:space="0" w:color="auto"/>
        <w:left w:val="none" w:sz="0" w:space="0" w:color="auto"/>
        <w:bottom w:val="none" w:sz="0" w:space="0" w:color="auto"/>
        <w:right w:val="none" w:sz="0" w:space="0" w:color="auto"/>
      </w:divBdr>
      <w:divsChild>
        <w:div w:id="496266073">
          <w:marLeft w:val="0"/>
          <w:marRight w:val="0"/>
          <w:marTop w:val="0"/>
          <w:marBottom w:val="0"/>
          <w:divBdr>
            <w:top w:val="none" w:sz="0" w:space="0" w:color="auto"/>
            <w:left w:val="none" w:sz="0" w:space="0" w:color="auto"/>
            <w:bottom w:val="none" w:sz="0" w:space="0" w:color="auto"/>
            <w:right w:val="none" w:sz="0" w:space="0" w:color="auto"/>
          </w:divBdr>
          <w:divsChild>
            <w:div w:id="1124889419">
              <w:marLeft w:val="0"/>
              <w:marRight w:val="0"/>
              <w:marTop w:val="0"/>
              <w:marBottom w:val="0"/>
              <w:divBdr>
                <w:top w:val="none" w:sz="0" w:space="0" w:color="auto"/>
                <w:left w:val="none" w:sz="0" w:space="0" w:color="auto"/>
                <w:bottom w:val="none" w:sz="0" w:space="0" w:color="auto"/>
                <w:right w:val="none" w:sz="0" w:space="0" w:color="auto"/>
              </w:divBdr>
              <w:divsChild>
                <w:div w:id="510606876">
                  <w:marLeft w:val="0"/>
                  <w:marRight w:val="0"/>
                  <w:marTop w:val="0"/>
                  <w:marBottom w:val="0"/>
                  <w:divBdr>
                    <w:top w:val="none" w:sz="0" w:space="0" w:color="auto"/>
                    <w:left w:val="none" w:sz="0" w:space="0" w:color="auto"/>
                    <w:bottom w:val="none" w:sz="0" w:space="0" w:color="auto"/>
                    <w:right w:val="none" w:sz="0" w:space="0" w:color="auto"/>
                  </w:divBdr>
                  <w:divsChild>
                    <w:div w:id="1594433512">
                      <w:marLeft w:val="0"/>
                      <w:marRight w:val="0"/>
                      <w:marTop w:val="0"/>
                      <w:marBottom w:val="0"/>
                      <w:divBdr>
                        <w:top w:val="none" w:sz="0" w:space="0" w:color="auto"/>
                        <w:left w:val="none" w:sz="0" w:space="0" w:color="auto"/>
                        <w:bottom w:val="none" w:sz="0" w:space="0" w:color="auto"/>
                        <w:right w:val="none" w:sz="0" w:space="0" w:color="auto"/>
                      </w:divBdr>
                      <w:divsChild>
                        <w:div w:id="1346328004">
                          <w:marLeft w:val="0"/>
                          <w:marRight w:val="0"/>
                          <w:marTop w:val="0"/>
                          <w:marBottom w:val="0"/>
                          <w:divBdr>
                            <w:top w:val="none" w:sz="0" w:space="0" w:color="auto"/>
                            <w:left w:val="none" w:sz="0" w:space="0" w:color="auto"/>
                            <w:bottom w:val="none" w:sz="0" w:space="0" w:color="auto"/>
                            <w:right w:val="none" w:sz="0" w:space="0" w:color="auto"/>
                          </w:divBdr>
                          <w:divsChild>
                            <w:div w:id="1444958556">
                              <w:marLeft w:val="0"/>
                              <w:marRight w:val="0"/>
                              <w:marTop w:val="0"/>
                              <w:marBottom w:val="0"/>
                              <w:divBdr>
                                <w:top w:val="none" w:sz="0" w:space="0" w:color="auto"/>
                                <w:left w:val="none" w:sz="0" w:space="0" w:color="auto"/>
                                <w:bottom w:val="none" w:sz="0" w:space="0" w:color="auto"/>
                                <w:right w:val="none" w:sz="0" w:space="0" w:color="auto"/>
                              </w:divBdr>
                              <w:divsChild>
                                <w:div w:id="407924509">
                                  <w:marLeft w:val="0"/>
                                  <w:marRight w:val="0"/>
                                  <w:marTop w:val="0"/>
                                  <w:marBottom w:val="0"/>
                                  <w:divBdr>
                                    <w:top w:val="none" w:sz="0" w:space="0" w:color="auto"/>
                                    <w:left w:val="none" w:sz="0" w:space="0" w:color="auto"/>
                                    <w:bottom w:val="none" w:sz="0" w:space="0" w:color="auto"/>
                                    <w:right w:val="none" w:sz="0" w:space="0" w:color="auto"/>
                                  </w:divBdr>
                                  <w:divsChild>
                                    <w:div w:id="17738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453764">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32243297">
      <w:bodyDiv w:val="1"/>
      <w:marLeft w:val="0"/>
      <w:marRight w:val="0"/>
      <w:marTop w:val="0"/>
      <w:marBottom w:val="0"/>
      <w:divBdr>
        <w:top w:val="none" w:sz="0" w:space="0" w:color="auto"/>
        <w:left w:val="none" w:sz="0" w:space="0" w:color="auto"/>
        <w:bottom w:val="none" w:sz="0" w:space="0" w:color="auto"/>
        <w:right w:val="none" w:sz="0" w:space="0" w:color="auto"/>
      </w:divBdr>
    </w:div>
    <w:div w:id="1436246350">
      <w:bodyDiv w:val="1"/>
      <w:marLeft w:val="0"/>
      <w:marRight w:val="0"/>
      <w:marTop w:val="0"/>
      <w:marBottom w:val="0"/>
      <w:divBdr>
        <w:top w:val="none" w:sz="0" w:space="0" w:color="auto"/>
        <w:left w:val="none" w:sz="0" w:space="0" w:color="auto"/>
        <w:bottom w:val="none" w:sz="0" w:space="0" w:color="auto"/>
        <w:right w:val="none" w:sz="0" w:space="0" w:color="auto"/>
      </w:divBdr>
    </w:div>
    <w:div w:id="1439065531">
      <w:bodyDiv w:val="1"/>
      <w:marLeft w:val="0"/>
      <w:marRight w:val="0"/>
      <w:marTop w:val="0"/>
      <w:marBottom w:val="0"/>
      <w:divBdr>
        <w:top w:val="none" w:sz="0" w:space="0" w:color="auto"/>
        <w:left w:val="none" w:sz="0" w:space="0" w:color="auto"/>
        <w:bottom w:val="none" w:sz="0" w:space="0" w:color="auto"/>
        <w:right w:val="none" w:sz="0" w:space="0" w:color="auto"/>
      </w:divBdr>
    </w:div>
    <w:div w:id="1477145885">
      <w:bodyDiv w:val="1"/>
      <w:marLeft w:val="0"/>
      <w:marRight w:val="0"/>
      <w:marTop w:val="0"/>
      <w:marBottom w:val="0"/>
      <w:divBdr>
        <w:top w:val="none" w:sz="0" w:space="0" w:color="auto"/>
        <w:left w:val="none" w:sz="0" w:space="0" w:color="auto"/>
        <w:bottom w:val="none" w:sz="0" w:space="0" w:color="auto"/>
        <w:right w:val="none" w:sz="0" w:space="0" w:color="auto"/>
      </w:divBdr>
    </w:div>
    <w:div w:id="1483233119">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65213419">
      <w:bodyDiv w:val="1"/>
      <w:marLeft w:val="0"/>
      <w:marRight w:val="0"/>
      <w:marTop w:val="0"/>
      <w:marBottom w:val="0"/>
      <w:divBdr>
        <w:top w:val="none" w:sz="0" w:space="0" w:color="auto"/>
        <w:left w:val="none" w:sz="0" w:space="0" w:color="auto"/>
        <w:bottom w:val="none" w:sz="0" w:space="0" w:color="auto"/>
        <w:right w:val="none" w:sz="0" w:space="0" w:color="auto"/>
      </w:divBdr>
    </w:div>
    <w:div w:id="1569798899">
      <w:bodyDiv w:val="1"/>
      <w:marLeft w:val="0"/>
      <w:marRight w:val="0"/>
      <w:marTop w:val="0"/>
      <w:marBottom w:val="0"/>
      <w:divBdr>
        <w:top w:val="none" w:sz="0" w:space="0" w:color="auto"/>
        <w:left w:val="none" w:sz="0" w:space="0" w:color="auto"/>
        <w:bottom w:val="none" w:sz="0" w:space="0" w:color="auto"/>
        <w:right w:val="none" w:sz="0" w:space="0" w:color="auto"/>
      </w:divBdr>
    </w:div>
    <w:div w:id="1577321806">
      <w:bodyDiv w:val="1"/>
      <w:marLeft w:val="0"/>
      <w:marRight w:val="0"/>
      <w:marTop w:val="0"/>
      <w:marBottom w:val="0"/>
      <w:divBdr>
        <w:top w:val="none" w:sz="0" w:space="0" w:color="auto"/>
        <w:left w:val="none" w:sz="0" w:space="0" w:color="auto"/>
        <w:bottom w:val="none" w:sz="0" w:space="0" w:color="auto"/>
        <w:right w:val="none" w:sz="0" w:space="0" w:color="auto"/>
      </w:divBdr>
    </w:div>
    <w:div w:id="1618877368">
      <w:bodyDiv w:val="1"/>
      <w:marLeft w:val="0"/>
      <w:marRight w:val="0"/>
      <w:marTop w:val="0"/>
      <w:marBottom w:val="0"/>
      <w:divBdr>
        <w:top w:val="none" w:sz="0" w:space="0" w:color="auto"/>
        <w:left w:val="none" w:sz="0" w:space="0" w:color="auto"/>
        <w:bottom w:val="none" w:sz="0" w:space="0" w:color="auto"/>
        <w:right w:val="none" w:sz="0" w:space="0" w:color="auto"/>
      </w:divBdr>
    </w:div>
    <w:div w:id="1630043573">
      <w:bodyDiv w:val="1"/>
      <w:marLeft w:val="0"/>
      <w:marRight w:val="0"/>
      <w:marTop w:val="0"/>
      <w:marBottom w:val="0"/>
      <w:divBdr>
        <w:top w:val="none" w:sz="0" w:space="0" w:color="auto"/>
        <w:left w:val="none" w:sz="0" w:space="0" w:color="auto"/>
        <w:bottom w:val="none" w:sz="0" w:space="0" w:color="auto"/>
        <w:right w:val="none" w:sz="0" w:space="0" w:color="auto"/>
      </w:divBdr>
    </w:div>
    <w:div w:id="1680740296">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23554">
      <w:bodyDiv w:val="1"/>
      <w:marLeft w:val="0"/>
      <w:marRight w:val="0"/>
      <w:marTop w:val="0"/>
      <w:marBottom w:val="0"/>
      <w:divBdr>
        <w:top w:val="none" w:sz="0" w:space="0" w:color="auto"/>
        <w:left w:val="none" w:sz="0" w:space="0" w:color="auto"/>
        <w:bottom w:val="none" w:sz="0" w:space="0" w:color="auto"/>
        <w:right w:val="none" w:sz="0" w:space="0" w:color="auto"/>
      </w:divBdr>
    </w:div>
    <w:div w:id="1683508255">
      <w:bodyDiv w:val="1"/>
      <w:marLeft w:val="0"/>
      <w:marRight w:val="0"/>
      <w:marTop w:val="0"/>
      <w:marBottom w:val="0"/>
      <w:divBdr>
        <w:top w:val="none" w:sz="0" w:space="0" w:color="auto"/>
        <w:left w:val="none" w:sz="0" w:space="0" w:color="auto"/>
        <w:bottom w:val="none" w:sz="0" w:space="0" w:color="auto"/>
        <w:right w:val="none" w:sz="0" w:space="0" w:color="auto"/>
      </w:divBdr>
    </w:div>
    <w:div w:id="1686057514">
      <w:bodyDiv w:val="1"/>
      <w:marLeft w:val="0"/>
      <w:marRight w:val="0"/>
      <w:marTop w:val="0"/>
      <w:marBottom w:val="0"/>
      <w:divBdr>
        <w:top w:val="none" w:sz="0" w:space="0" w:color="auto"/>
        <w:left w:val="none" w:sz="0" w:space="0" w:color="auto"/>
        <w:bottom w:val="none" w:sz="0" w:space="0" w:color="auto"/>
        <w:right w:val="none" w:sz="0" w:space="0" w:color="auto"/>
      </w:divBdr>
    </w:div>
    <w:div w:id="1689791026">
      <w:bodyDiv w:val="1"/>
      <w:marLeft w:val="0"/>
      <w:marRight w:val="0"/>
      <w:marTop w:val="0"/>
      <w:marBottom w:val="0"/>
      <w:divBdr>
        <w:top w:val="none" w:sz="0" w:space="0" w:color="auto"/>
        <w:left w:val="none" w:sz="0" w:space="0" w:color="auto"/>
        <w:bottom w:val="none" w:sz="0" w:space="0" w:color="auto"/>
        <w:right w:val="none" w:sz="0" w:space="0" w:color="auto"/>
      </w:divBdr>
    </w:div>
    <w:div w:id="1713649271">
      <w:bodyDiv w:val="1"/>
      <w:marLeft w:val="0"/>
      <w:marRight w:val="0"/>
      <w:marTop w:val="0"/>
      <w:marBottom w:val="0"/>
      <w:divBdr>
        <w:top w:val="none" w:sz="0" w:space="0" w:color="auto"/>
        <w:left w:val="none" w:sz="0" w:space="0" w:color="auto"/>
        <w:bottom w:val="none" w:sz="0" w:space="0" w:color="auto"/>
        <w:right w:val="none" w:sz="0" w:space="0" w:color="auto"/>
      </w:divBdr>
    </w:div>
    <w:div w:id="1739744467">
      <w:bodyDiv w:val="1"/>
      <w:marLeft w:val="0"/>
      <w:marRight w:val="0"/>
      <w:marTop w:val="0"/>
      <w:marBottom w:val="0"/>
      <w:divBdr>
        <w:top w:val="none" w:sz="0" w:space="0" w:color="auto"/>
        <w:left w:val="none" w:sz="0" w:space="0" w:color="auto"/>
        <w:bottom w:val="none" w:sz="0" w:space="0" w:color="auto"/>
        <w:right w:val="none" w:sz="0" w:space="0" w:color="auto"/>
      </w:divBdr>
    </w:div>
    <w:div w:id="1741440848">
      <w:bodyDiv w:val="1"/>
      <w:marLeft w:val="0"/>
      <w:marRight w:val="0"/>
      <w:marTop w:val="0"/>
      <w:marBottom w:val="0"/>
      <w:divBdr>
        <w:top w:val="none" w:sz="0" w:space="0" w:color="auto"/>
        <w:left w:val="none" w:sz="0" w:space="0" w:color="auto"/>
        <w:bottom w:val="none" w:sz="0" w:space="0" w:color="auto"/>
        <w:right w:val="none" w:sz="0" w:space="0" w:color="auto"/>
      </w:divBdr>
    </w:div>
    <w:div w:id="1769545034">
      <w:bodyDiv w:val="1"/>
      <w:marLeft w:val="0"/>
      <w:marRight w:val="0"/>
      <w:marTop w:val="0"/>
      <w:marBottom w:val="0"/>
      <w:divBdr>
        <w:top w:val="none" w:sz="0" w:space="0" w:color="auto"/>
        <w:left w:val="none" w:sz="0" w:space="0" w:color="auto"/>
        <w:bottom w:val="none" w:sz="0" w:space="0" w:color="auto"/>
        <w:right w:val="none" w:sz="0" w:space="0" w:color="auto"/>
      </w:divBdr>
    </w:div>
    <w:div w:id="1796680798">
      <w:bodyDiv w:val="1"/>
      <w:marLeft w:val="0"/>
      <w:marRight w:val="0"/>
      <w:marTop w:val="0"/>
      <w:marBottom w:val="0"/>
      <w:divBdr>
        <w:top w:val="none" w:sz="0" w:space="0" w:color="auto"/>
        <w:left w:val="none" w:sz="0" w:space="0" w:color="auto"/>
        <w:bottom w:val="none" w:sz="0" w:space="0" w:color="auto"/>
        <w:right w:val="none" w:sz="0" w:space="0" w:color="auto"/>
      </w:divBdr>
    </w:div>
    <w:div w:id="1809391531">
      <w:bodyDiv w:val="1"/>
      <w:marLeft w:val="0"/>
      <w:marRight w:val="0"/>
      <w:marTop w:val="0"/>
      <w:marBottom w:val="0"/>
      <w:divBdr>
        <w:top w:val="none" w:sz="0" w:space="0" w:color="auto"/>
        <w:left w:val="none" w:sz="0" w:space="0" w:color="auto"/>
        <w:bottom w:val="none" w:sz="0" w:space="0" w:color="auto"/>
        <w:right w:val="none" w:sz="0" w:space="0" w:color="auto"/>
      </w:divBdr>
    </w:div>
    <w:div w:id="1839224076">
      <w:bodyDiv w:val="1"/>
      <w:marLeft w:val="0"/>
      <w:marRight w:val="0"/>
      <w:marTop w:val="0"/>
      <w:marBottom w:val="0"/>
      <w:divBdr>
        <w:top w:val="none" w:sz="0" w:space="0" w:color="auto"/>
        <w:left w:val="none" w:sz="0" w:space="0" w:color="auto"/>
        <w:bottom w:val="none" w:sz="0" w:space="0" w:color="auto"/>
        <w:right w:val="none" w:sz="0" w:space="0" w:color="auto"/>
      </w:divBdr>
    </w:div>
    <w:div w:id="1849130129">
      <w:bodyDiv w:val="1"/>
      <w:marLeft w:val="0"/>
      <w:marRight w:val="0"/>
      <w:marTop w:val="0"/>
      <w:marBottom w:val="0"/>
      <w:divBdr>
        <w:top w:val="none" w:sz="0" w:space="0" w:color="auto"/>
        <w:left w:val="none" w:sz="0" w:space="0" w:color="auto"/>
        <w:bottom w:val="none" w:sz="0" w:space="0" w:color="auto"/>
        <w:right w:val="none" w:sz="0" w:space="0" w:color="auto"/>
      </w:divBdr>
    </w:div>
    <w:div w:id="1871650976">
      <w:bodyDiv w:val="1"/>
      <w:marLeft w:val="0"/>
      <w:marRight w:val="0"/>
      <w:marTop w:val="0"/>
      <w:marBottom w:val="0"/>
      <w:divBdr>
        <w:top w:val="none" w:sz="0" w:space="0" w:color="auto"/>
        <w:left w:val="none" w:sz="0" w:space="0" w:color="auto"/>
        <w:bottom w:val="none" w:sz="0" w:space="0" w:color="auto"/>
        <w:right w:val="none" w:sz="0" w:space="0" w:color="auto"/>
      </w:divBdr>
    </w:div>
    <w:div w:id="1924948710">
      <w:bodyDiv w:val="1"/>
      <w:marLeft w:val="0"/>
      <w:marRight w:val="0"/>
      <w:marTop w:val="0"/>
      <w:marBottom w:val="0"/>
      <w:divBdr>
        <w:top w:val="none" w:sz="0" w:space="0" w:color="auto"/>
        <w:left w:val="none" w:sz="0" w:space="0" w:color="auto"/>
        <w:bottom w:val="none" w:sz="0" w:space="0" w:color="auto"/>
        <w:right w:val="none" w:sz="0" w:space="0" w:color="auto"/>
      </w:divBdr>
    </w:div>
    <w:div w:id="2011523596">
      <w:bodyDiv w:val="1"/>
      <w:marLeft w:val="0"/>
      <w:marRight w:val="0"/>
      <w:marTop w:val="0"/>
      <w:marBottom w:val="0"/>
      <w:divBdr>
        <w:top w:val="none" w:sz="0" w:space="0" w:color="auto"/>
        <w:left w:val="none" w:sz="0" w:space="0" w:color="auto"/>
        <w:bottom w:val="none" w:sz="0" w:space="0" w:color="auto"/>
        <w:right w:val="none" w:sz="0" w:space="0" w:color="auto"/>
      </w:divBdr>
    </w:div>
    <w:div w:id="2020614848">
      <w:bodyDiv w:val="1"/>
      <w:marLeft w:val="0"/>
      <w:marRight w:val="0"/>
      <w:marTop w:val="0"/>
      <w:marBottom w:val="0"/>
      <w:divBdr>
        <w:top w:val="none" w:sz="0" w:space="0" w:color="auto"/>
        <w:left w:val="none" w:sz="0" w:space="0" w:color="auto"/>
        <w:bottom w:val="none" w:sz="0" w:space="0" w:color="auto"/>
        <w:right w:val="none" w:sz="0" w:space="0" w:color="auto"/>
      </w:divBdr>
    </w:div>
    <w:div w:id="2035961709">
      <w:bodyDiv w:val="1"/>
      <w:marLeft w:val="0"/>
      <w:marRight w:val="0"/>
      <w:marTop w:val="0"/>
      <w:marBottom w:val="0"/>
      <w:divBdr>
        <w:top w:val="none" w:sz="0" w:space="0" w:color="auto"/>
        <w:left w:val="none" w:sz="0" w:space="0" w:color="auto"/>
        <w:bottom w:val="none" w:sz="0" w:space="0" w:color="auto"/>
        <w:right w:val="none" w:sz="0" w:space="0" w:color="auto"/>
      </w:divBdr>
    </w:div>
    <w:div w:id="2038386994">
      <w:bodyDiv w:val="1"/>
      <w:marLeft w:val="0"/>
      <w:marRight w:val="0"/>
      <w:marTop w:val="0"/>
      <w:marBottom w:val="0"/>
      <w:divBdr>
        <w:top w:val="none" w:sz="0" w:space="0" w:color="auto"/>
        <w:left w:val="none" w:sz="0" w:space="0" w:color="auto"/>
        <w:bottom w:val="none" w:sz="0" w:space="0" w:color="auto"/>
        <w:right w:val="none" w:sz="0" w:space="0" w:color="auto"/>
      </w:divBdr>
    </w:div>
    <w:div w:id="2088766615">
      <w:bodyDiv w:val="1"/>
      <w:marLeft w:val="0"/>
      <w:marRight w:val="0"/>
      <w:marTop w:val="0"/>
      <w:marBottom w:val="0"/>
      <w:divBdr>
        <w:top w:val="none" w:sz="0" w:space="0" w:color="auto"/>
        <w:left w:val="none" w:sz="0" w:space="0" w:color="auto"/>
        <w:bottom w:val="none" w:sz="0" w:space="0" w:color="auto"/>
        <w:right w:val="none" w:sz="0" w:space="0" w:color="auto"/>
      </w:divBdr>
      <w:divsChild>
        <w:div w:id="62871181">
          <w:marLeft w:val="0"/>
          <w:marRight w:val="0"/>
          <w:marTop w:val="0"/>
          <w:marBottom w:val="0"/>
          <w:divBdr>
            <w:top w:val="none" w:sz="0" w:space="0" w:color="auto"/>
            <w:left w:val="none" w:sz="0" w:space="0" w:color="auto"/>
            <w:bottom w:val="none" w:sz="0" w:space="0" w:color="auto"/>
            <w:right w:val="none" w:sz="0" w:space="0" w:color="auto"/>
          </w:divBdr>
        </w:div>
      </w:divsChild>
    </w:div>
    <w:div w:id="2093236466">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3336</Words>
  <Characters>18349</Characters>
  <Application>Microsoft Office Word</Application>
  <DocSecurity>0</DocSecurity>
  <Lines>152</Lines>
  <Paragraphs>43</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dc:description/>
  <cp:lastModifiedBy>Fiorella Vanessa Guere Salazar</cp:lastModifiedBy>
  <cp:revision>25</cp:revision>
  <cp:lastPrinted>2015-05-12T18:31:00Z</cp:lastPrinted>
  <dcterms:created xsi:type="dcterms:W3CDTF">2026-03-28T15:04:00Z</dcterms:created>
  <dcterms:modified xsi:type="dcterms:W3CDTF">2026-03-28T15:13:00Z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